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Pharmacology For Midwives</w:t>
      </w:r>
    </w:p>
    <w:p w:rsidR="00E620A1" w:rsidRDefault="009969C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620A1" w:rsidRDefault="009969C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620A1" w:rsidRDefault="009969C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E620A1" w:rsidRDefault="00E620A1">
      <w:pPr>
        <w:spacing w:line="240" w:lineRule="auto"/>
        <w:contextualSpacing w:val="0"/>
        <w:rPr>
          <w:rFonts w:ascii="Helvetica Neue" w:eastAsia="Helvetica Neue" w:hAnsi="Helvetica Neue" w:cs="Helvetica Neue"/>
          <w:b/>
          <w:sz w:val="24"/>
          <w:szCs w:val="24"/>
        </w:rPr>
      </w:pPr>
    </w:p>
    <w:p w:rsidR="00E620A1" w:rsidRDefault="00E620A1">
      <w:pPr>
        <w:contextualSpacing w:val="0"/>
        <w:rPr>
          <w:sz w:val="28"/>
          <w:szCs w:val="28"/>
          <w:u w:val="single"/>
        </w:rPr>
      </w:pPr>
    </w:p>
    <w:p w:rsidR="00E620A1" w:rsidRDefault="009969C1">
      <w:pPr>
        <w:contextualSpacing w:val="0"/>
        <w:rPr>
          <w:sz w:val="24"/>
          <w:szCs w:val="24"/>
          <w:u w:val="single"/>
        </w:rPr>
      </w:pPr>
      <w:r>
        <w:rPr>
          <w:sz w:val="24"/>
          <w:szCs w:val="24"/>
          <w:u w:val="single"/>
        </w:rPr>
        <w:t>Description:</w:t>
      </w:r>
    </w:p>
    <w:p w:rsidR="00E620A1" w:rsidRDefault="009969C1">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BD0176">
        <w:rPr>
          <w:rFonts w:ascii="Helvetica Neue" w:eastAsia="Helvetica Neue" w:hAnsi="Helvetica Neue" w:cs="Helvetica Neue"/>
          <w:sz w:val="24"/>
          <w:szCs w:val="24"/>
        </w:rPr>
        <w:t xml:space="preserve"> pharmacological agents appropriate to pregnant people and the implications in out of hospital care. It</w:t>
      </w:r>
      <w:r>
        <w:rPr>
          <w:rFonts w:ascii="Helvetica Neue" w:eastAsia="Helvetica Neue" w:hAnsi="Helvetica Neue" w:cs="Helvetica Neue"/>
          <w:sz w:val="24"/>
          <w:szCs w:val="24"/>
        </w:rPr>
        <w:t xml:space="preserve"> includes recommended reading materials in print and online, and asks students to complete short answer questions for assessment, long answer questions for deeper reflection, and learning activities/projects to deepen your hands-on direct application o</w:t>
      </w:r>
      <w:r>
        <w:rPr>
          <w:rFonts w:ascii="Helvetica Neue" w:eastAsia="Helvetica Neue" w:hAnsi="Helvetica Neue" w:cs="Helvetica Neue"/>
          <w:sz w:val="24"/>
          <w:szCs w:val="24"/>
        </w:rPr>
        <w:t xml:space="preserve">f key concepts. </w:t>
      </w:r>
    </w:p>
    <w:p w:rsidR="00E620A1" w:rsidRDefault="00E620A1">
      <w:pPr>
        <w:contextualSpacing w:val="0"/>
        <w:rPr>
          <w:sz w:val="28"/>
          <w:szCs w:val="28"/>
          <w:u w:val="single"/>
        </w:rPr>
      </w:pPr>
    </w:p>
    <w:p w:rsidR="00E620A1" w:rsidRDefault="009969C1">
      <w:pPr>
        <w:contextualSpacing w:val="0"/>
        <w:rPr>
          <w:sz w:val="24"/>
          <w:szCs w:val="24"/>
          <w:u w:val="single"/>
        </w:rPr>
      </w:pPr>
      <w:r>
        <w:rPr>
          <w:sz w:val="24"/>
          <w:szCs w:val="24"/>
          <w:u w:val="single"/>
        </w:rPr>
        <w:t>Learning Objectives:</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Become familiar with the various reference materials available for consultation regarding pharmacology.</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drug safety and lactation safety categories.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distribution and regulation of fluid within</w:t>
      </w:r>
      <w:r>
        <w:rPr>
          <w:rFonts w:ascii="Helvetica Neue" w:eastAsia="Helvetica Neue" w:hAnsi="Helvetica Neue" w:cs="Helvetica Neue"/>
          <w:sz w:val="24"/>
          <w:szCs w:val="24"/>
        </w:rPr>
        <w:t xml:space="preserve"> the body.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basic structure and function of the circulatory system.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medications commonly used in obstetric, midwifery, and newborn care, the applications and risks of these medications.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mechanism, effects, and metab</w:t>
      </w:r>
      <w:r>
        <w:rPr>
          <w:rFonts w:ascii="Helvetica Neue" w:eastAsia="Helvetica Neue" w:hAnsi="Helvetica Neue" w:cs="Helvetica Neue"/>
          <w:sz w:val="24"/>
          <w:szCs w:val="24"/>
        </w:rPr>
        <w:t xml:space="preserve">olic excretion of the medications commonly used in obstetric, midwifery, and newborn care.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steps for safe handling, identification, and administration of medications appropriate to midwifery.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over-the-counter medications your client</w:t>
      </w:r>
      <w:r>
        <w:rPr>
          <w:rFonts w:ascii="Helvetica Neue" w:eastAsia="Helvetica Neue" w:hAnsi="Helvetica Neue" w:cs="Helvetica Neue"/>
          <w:sz w:val="24"/>
          <w:szCs w:val="24"/>
        </w:rPr>
        <w:t xml:space="preserve">s will likely encounter.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Learn how to identify the over-the-counter medications considered appropriate for use in the childbearing cycle.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appropriate syringes and needles for practical midwifery application.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appropriate equipment and supplies for administering IV fluids in a midwifery home birth setting.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appropriate use of IV fluids administration in a midwifery home birth setting.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Consider the possible adverse effects of administer</w:t>
      </w:r>
      <w:r>
        <w:rPr>
          <w:rFonts w:ascii="Helvetica Neue" w:eastAsia="Helvetica Neue" w:hAnsi="Helvetica Neue" w:cs="Helvetica Neue"/>
          <w:sz w:val="24"/>
          <w:szCs w:val="24"/>
        </w:rPr>
        <w:t xml:space="preserve">ing IV therapy to pregnant or laboring women.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recommended immunization schedule for infants.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legal requirements and limitations of the midwifery license regarding the use of medications and IV administration in your state. Cross</w:t>
      </w:r>
      <w:r>
        <w:rPr>
          <w:rFonts w:ascii="Helvetica Neue" w:eastAsia="Helvetica Neue" w:hAnsi="Helvetica Neue" w:cs="Helvetica Neue"/>
          <w:sz w:val="24"/>
          <w:szCs w:val="24"/>
        </w:rPr>
        <w:t xml:space="preserve"> reference this with the national certification, NARM CPM.</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the use of medications in your own practice.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the use of IV fluids in your own practice. </w:t>
      </w:r>
    </w:p>
    <w:p w:rsidR="00E620A1" w:rsidRDefault="009969C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Demonstrate use of appropriate medications with</w:t>
      </w:r>
      <w:r>
        <w:rPr>
          <w:rFonts w:ascii="Helvetica Neue" w:eastAsia="Helvetica Neue" w:hAnsi="Helvetica Neue" w:cs="Helvetica Neue"/>
          <w:sz w:val="24"/>
          <w:szCs w:val="24"/>
        </w:rPr>
        <w:t>in the context of your preceptor’s practice.</w:t>
      </w:r>
    </w:p>
    <w:p w:rsidR="00E620A1" w:rsidRDefault="00E620A1">
      <w:pPr>
        <w:spacing w:line="240" w:lineRule="auto"/>
        <w:contextualSpacing w:val="0"/>
        <w:rPr>
          <w:rFonts w:ascii="Helvetica Neue" w:eastAsia="Helvetica Neue" w:hAnsi="Helvetica Neue" w:cs="Helvetica Neue"/>
          <w:sz w:val="24"/>
          <w:szCs w:val="24"/>
        </w:rPr>
      </w:pPr>
    </w:p>
    <w:p w:rsidR="00E620A1" w:rsidRDefault="009969C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E620A1" w:rsidRDefault="009969C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E620A1" w:rsidRDefault="009969C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E620A1" w:rsidRDefault="009969C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w:t>
      </w:r>
      <w:r>
        <w:rPr>
          <w:rFonts w:ascii="Helvetica Neue" w:eastAsia="Helvetica Neue" w:hAnsi="Helvetica Neue" w:cs="Helvetica Neue"/>
          <w:sz w:val="24"/>
          <w:szCs w:val="24"/>
        </w:rPr>
        <w:t>er questions for deeper reflection in attached module document for assessment</w:t>
      </w:r>
    </w:p>
    <w:p w:rsidR="00E620A1" w:rsidRDefault="009969C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E620A1" w:rsidRDefault="009969C1">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Read drug insert information and reflect on information </w:t>
      </w:r>
    </w:p>
    <w:p w:rsidR="00E620A1" w:rsidRDefault="009969C1">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Obtain the IV equipment and practice skill</w:t>
      </w:r>
    </w:p>
    <w:p w:rsidR="00E620A1" w:rsidRDefault="009969C1">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Obtain a copy of the midwifery license law and rules &amp; </w:t>
      </w:r>
      <w:proofErr w:type="spellStart"/>
      <w:r>
        <w:rPr>
          <w:rFonts w:ascii="Helvetica Neue" w:eastAsia="Helvetica Neue" w:hAnsi="Helvetica Neue" w:cs="Helvetica Neue"/>
          <w:sz w:val="24"/>
          <w:szCs w:val="24"/>
        </w:rPr>
        <w:t>regs</w:t>
      </w:r>
      <w:proofErr w:type="spellEnd"/>
    </w:p>
    <w:p w:rsidR="00E620A1" w:rsidRDefault="009969C1">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Draft practice guidelines for the use of medications</w:t>
      </w:r>
    </w:p>
    <w:p w:rsidR="00E620A1" w:rsidRDefault="009969C1">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the use of IV fluids</w:t>
      </w:r>
    </w:p>
    <w:p w:rsidR="00E620A1" w:rsidRDefault="009969C1">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the screening of ABO and RH factor </w:t>
      </w:r>
    </w:p>
    <w:p w:rsidR="00E620A1" w:rsidRDefault="009969C1">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reference card of</w:t>
      </w:r>
      <w:r>
        <w:rPr>
          <w:rFonts w:ascii="Helvetica Neue" w:eastAsia="Helvetica Neue" w:hAnsi="Helvetica Neue" w:cs="Helvetica Neue"/>
          <w:sz w:val="24"/>
          <w:szCs w:val="24"/>
        </w:rPr>
        <w:t xml:space="preserve"> medications and dosages</w:t>
      </w:r>
    </w:p>
    <w:p w:rsidR="00E620A1" w:rsidRDefault="009969C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E620A1" w:rsidRDefault="009969C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E620A1" w:rsidRDefault="00E620A1">
      <w:pPr>
        <w:spacing w:line="240" w:lineRule="auto"/>
        <w:ind w:left="720"/>
        <w:contextualSpacing w:val="0"/>
        <w:rPr>
          <w:rFonts w:ascii="Helvetica Neue" w:eastAsia="Helvetica Neue" w:hAnsi="Helvetica Neue" w:cs="Helvetica Neue"/>
          <w:sz w:val="24"/>
          <w:szCs w:val="24"/>
        </w:rPr>
      </w:pPr>
    </w:p>
    <w:p w:rsidR="00E620A1" w:rsidRDefault="009969C1">
      <w:pPr>
        <w:contextualSpacing w:val="0"/>
        <w:rPr>
          <w:sz w:val="24"/>
          <w:szCs w:val="24"/>
          <w:u w:val="single"/>
        </w:rPr>
      </w:pPr>
      <w:r>
        <w:rPr>
          <w:sz w:val="24"/>
          <w:szCs w:val="24"/>
          <w:u w:val="single"/>
        </w:rPr>
        <w:t>Study Sources (print):</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w:t>
      </w:r>
      <w:r>
        <w:rPr>
          <w:rFonts w:ascii="Helvetica Neue" w:eastAsia="Helvetica Neue" w:hAnsi="Helvetica Neue" w:cs="Helvetica Neue"/>
          <w:sz w:val="24"/>
          <w:szCs w:val="24"/>
        </w:rPr>
        <w:t>ch they are found. Establish a context for the information so that you understand how other topics are related. In addition, read the chapter headings in the Table of Contents, and flip through each text to familiarize yourself with the content of chapters</w:t>
      </w:r>
      <w:r>
        <w:rPr>
          <w:rFonts w:ascii="Helvetica Neue" w:eastAsia="Helvetica Neue" w:hAnsi="Helvetica Neue" w:cs="Helvetica Neue"/>
          <w:sz w:val="24"/>
          <w:szCs w:val="24"/>
        </w:rPr>
        <w:t>. As you work through Study Group modules, you will eventually read each text in its entirety.</w:t>
      </w:r>
    </w:p>
    <w:p w:rsidR="00E620A1" w:rsidRDefault="009969C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Human Anatomy and Physiology, </w:t>
      </w:r>
      <w:proofErr w:type="spellStart"/>
      <w:r>
        <w:rPr>
          <w:rFonts w:ascii="Helvetica Neue" w:eastAsia="Helvetica Neue" w:hAnsi="Helvetica Neue" w:cs="Helvetica Neue"/>
          <w:sz w:val="24"/>
          <w:szCs w:val="24"/>
        </w:rPr>
        <w:t>Marieb</w:t>
      </w:r>
      <w:proofErr w:type="spellEnd"/>
      <w:r>
        <w:rPr>
          <w:rFonts w:ascii="Helvetica Neue" w:eastAsia="Helvetica Neue" w:hAnsi="Helvetica Neue" w:cs="Helvetica Neue"/>
          <w:sz w:val="24"/>
          <w:szCs w:val="24"/>
        </w:rPr>
        <w:t xml:space="preserve"> </w:t>
      </w:r>
    </w:p>
    <w:p w:rsidR="00E620A1" w:rsidRDefault="009969C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E620A1" w:rsidRDefault="009969C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Myles Textbook for Midwives </w:t>
      </w:r>
    </w:p>
    <w:p w:rsidR="00E620A1" w:rsidRDefault="009969C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Pharmacology for Women’s Health, Brucker &amp; King</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sz w:val="24"/>
          <w:szCs w:val="24"/>
        </w:rPr>
      </w:pPr>
      <w:r>
        <w:rPr>
          <w:rFonts w:ascii="Helvetica Neue" w:eastAsia="Helvetica Neue" w:hAnsi="Helvetica Neue" w:cs="Helvetica Neue"/>
          <w:i/>
          <w:sz w:val="24"/>
          <w:szCs w:val="24"/>
        </w:rPr>
        <w:t>Optional</w:t>
      </w:r>
    </w:p>
    <w:p w:rsidR="00E620A1" w:rsidRDefault="009969C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Anti-D in Midwifery: </w:t>
      </w:r>
      <w:proofErr w:type="spellStart"/>
      <w:r>
        <w:rPr>
          <w:rFonts w:ascii="Helvetica Neue" w:eastAsia="Helvetica Neue" w:hAnsi="Helvetica Neue" w:cs="Helvetica Neue"/>
          <w:sz w:val="24"/>
          <w:szCs w:val="24"/>
        </w:rPr>
        <w:t>Pancea</w:t>
      </w:r>
      <w:proofErr w:type="spellEnd"/>
      <w:r>
        <w:rPr>
          <w:rFonts w:ascii="Helvetica Neue" w:eastAsia="Helvetica Neue" w:hAnsi="Helvetica Neue" w:cs="Helvetica Neue"/>
          <w:sz w:val="24"/>
          <w:szCs w:val="24"/>
        </w:rPr>
        <w:t xml:space="preserve"> or Paradox?, Wickman</w:t>
      </w:r>
    </w:p>
    <w:p w:rsidR="00E620A1" w:rsidRDefault="00E620A1">
      <w:pPr>
        <w:spacing w:line="240" w:lineRule="auto"/>
        <w:contextualSpacing w:val="0"/>
        <w:rPr>
          <w:rFonts w:ascii="Helvetica Neue" w:eastAsia="Helvetica Neue" w:hAnsi="Helvetica Neue" w:cs="Helvetica Neue"/>
          <w:sz w:val="24"/>
          <w:szCs w:val="24"/>
        </w:rPr>
      </w:pPr>
    </w:p>
    <w:p w:rsidR="00E620A1" w:rsidRDefault="009969C1">
      <w:pPr>
        <w:contextualSpacing w:val="0"/>
        <w:rPr>
          <w:rFonts w:ascii="Helvetica Neue" w:eastAsia="Helvetica Neue" w:hAnsi="Helvetica Neue" w:cs="Helvetica Neue"/>
          <w:sz w:val="24"/>
          <w:szCs w:val="24"/>
          <w:u w:val="single"/>
        </w:rPr>
      </w:pPr>
      <w:r>
        <w:rPr>
          <w:sz w:val="24"/>
          <w:szCs w:val="24"/>
          <w:u w:val="single"/>
        </w:rPr>
        <w:t>Study Sources (online):</w:t>
      </w:r>
    </w:p>
    <w:p w:rsidR="00E620A1" w:rsidRDefault="009969C1">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Pharmacology For Midwives</w:t>
      </w:r>
      <w:r>
        <w:rPr>
          <w:rFonts w:ascii="Helvetica Neue" w:eastAsia="Helvetica Neue" w:hAnsi="Helvetica Neue" w:cs="Helvetica Neue"/>
          <w:color w:val="1A1A1A"/>
          <w:sz w:val="24"/>
          <w:szCs w:val="24"/>
        </w:rPr>
        <w:t xml:space="preserve"> module web resources section for current online study sources for this module.</w:t>
      </w:r>
    </w:p>
    <w:p w:rsidR="00E620A1" w:rsidRDefault="009969C1">
      <w:pPr>
        <w:contextualSpacing w:val="0"/>
        <w:rPr>
          <w:sz w:val="24"/>
          <w:szCs w:val="24"/>
          <w:u w:val="single"/>
        </w:rPr>
      </w:pPr>
      <w:r>
        <w:rPr>
          <w:sz w:val="24"/>
          <w:szCs w:val="24"/>
          <w:u w:val="single"/>
        </w:rPr>
        <w:t>Related Modules:</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First Stage of Labor</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Second Stage of Labor</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Third Stage of Labor</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Placenta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Breastfeeding / </w:t>
      </w:r>
      <w:proofErr w:type="spellStart"/>
      <w:r>
        <w:rPr>
          <w:rFonts w:ascii="Helvetica Neue" w:eastAsia="Helvetica Neue" w:hAnsi="Helvetica Neue" w:cs="Helvetica Neue"/>
          <w:sz w:val="24"/>
          <w:szCs w:val="24"/>
        </w:rPr>
        <w:t>Chestfeeding</w:t>
      </w:r>
      <w:proofErr w:type="spellEnd"/>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UTI</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Liver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Spontaneous Release of Membranes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Birth Bag and Set Up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Cesarean and VBAC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Fertility and Conception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General Pregnancy and Postpartum Ailments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Hemorrhage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Herpes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Hypertension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Apnea/H</w:t>
      </w:r>
      <w:r>
        <w:rPr>
          <w:rFonts w:ascii="Helvetica Neue" w:eastAsia="Helvetica Neue" w:hAnsi="Helvetica Neue" w:cs="Helvetica Neue"/>
          <w:sz w:val="24"/>
          <w:szCs w:val="24"/>
        </w:rPr>
        <w:t xml:space="preserve">ypoxia/Respiratory Distress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Perinatal Mental Health</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Postdates Management and </w:t>
      </w:r>
      <w:proofErr w:type="spellStart"/>
      <w:r>
        <w:rPr>
          <w:rFonts w:ascii="Helvetica Neue" w:eastAsia="Helvetica Neue" w:hAnsi="Helvetica Neue" w:cs="Helvetica Neue"/>
          <w:sz w:val="24"/>
          <w:szCs w:val="24"/>
        </w:rPr>
        <w:t>Postmaturity</w:t>
      </w:r>
      <w:proofErr w:type="spellEnd"/>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Pre-eclampsia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Preterm Labor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Substance Use and Abuse </w:t>
      </w:r>
    </w:p>
    <w:p w:rsidR="00E620A1" w:rsidRDefault="009969C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Lifelong Reproductive Healthcare</w:t>
      </w:r>
    </w:p>
    <w:p w:rsidR="00E620A1" w:rsidRDefault="00E620A1">
      <w:pPr>
        <w:spacing w:line="240" w:lineRule="auto"/>
        <w:contextualSpacing w:val="0"/>
        <w:rPr>
          <w:rFonts w:ascii="Helvetica Neue" w:eastAsia="Helvetica Neue" w:hAnsi="Helvetica Neue" w:cs="Helvetica Neue"/>
          <w:i/>
          <w:sz w:val="24"/>
          <w:szCs w:val="24"/>
        </w:rPr>
      </w:pPr>
    </w:p>
    <w:p w:rsidR="00E620A1" w:rsidRDefault="009969C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E620A1" w:rsidRDefault="009969C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E620A1" w:rsidRDefault="00E620A1">
      <w:pPr>
        <w:spacing w:line="240" w:lineRule="auto"/>
        <w:contextualSpacing w:val="0"/>
        <w:rPr>
          <w:rFonts w:ascii="Helvetica Neue" w:eastAsia="Helvetica Neue" w:hAnsi="Helvetica Neue" w:cs="Helvetica Neue"/>
          <w:sz w:val="24"/>
          <w:szCs w:val="24"/>
        </w:rPr>
      </w:pPr>
    </w:p>
    <w:p w:rsidR="00E620A1" w:rsidRDefault="009969C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E620A1" w:rsidRDefault="009969C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 Work Instructor nmi</w:t>
      </w:r>
      <w:r>
        <w:rPr>
          <w:rFonts w:ascii="Helvetica Neue" w:eastAsia="Helvetica Neue" w:hAnsi="Helvetica Neue" w:cs="Helvetica Neue"/>
          <w:sz w:val="24"/>
          <w:szCs w:val="24"/>
        </w:rPr>
        <w:t xml:space="preserve">studygroup@nationalmidwiferyinstitute.com </w:t>
      </w:r>
    </w:p>
    <w:p w:rsidR="00E620A1" w:rsidRDefault="00E620A1">
      <w:pPr>
        <w:spacing w:line="240" w:lineRule="auto"/>
        <w:contextualSpacing w:val="0"/>
        <w:rPr>
          <w:rFonts w:ascii="Helvetica Neue" w:eastAsia="Helvetica Neue" w:hAnsi="Helvetica Neue" w:cs="Helvetica Neue"/>
          <w:sz w:val="24"/>
          <w:szCs w:val="24"/>
        </w:rPr>
      </w:pPr>
    </w:p>
    <w:p w:rsidR="00E620A1" w:rsidRDefault="009969C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Once your module has been e-mailed to us, you will receive an e-mail confirmation that we have received it. Study Group modules are reviewed and returned in digital format as PDF documents. Modules can take up to</w:t>
      </w:r>
      <w:r>
        <w:rPr>
          <w:rFonts w:ascii="Helvetica Neue" w:eastAsia="Helvetica Neue" w:hAnsi="Helvetica Neue" w:cs="Helvetica Neue"/>
          <w:sz w:val="24"/>
          <w:szCs w:val="24"/>
        </w:rPr>
        <w:t xml:space="preserve"> 1 month from submission to be reviewed and returned to you. We will return your module as an e-mail attachment. Each module includes an Evaluation Sheet at the end of the pdf. The module’s page on the student portal also includes a link to a fillable onli</w:t>
      </w:r>
      <w:r>
        <w:rPr>
          <w:rFonts w:ascii="Helvetica Neue" w:eastAsia="Helvetica Neue" w:hAnsi="Helvetica Neue" w:cs="Helvetica Neue"/>
          <w:sz w:val="24"/>
          <w:szCs w:val="24"/>
        </w:rPr>
        <w:t xml:space="preserve">ne module evaluation sheet. Please take the time to fill out the module evaluation sheet and return it to us for each module, it helps us to improve our course work. </w:t>
      </w:r>
    </w:p>
    <w:p w:rsidR="00E620A1" w:rsidRDefault="00E620A1">
      <w:pPr>
        <w:spacing w:line="240" w:lineRule="auto"/>
        <w:contextualSpacing w:val="0"/>
        <w:rPr>
          <w:rFonts w:ascii="Helvetica Neue" w:eastAsia="Helvetica Neue" w:hAnsi="Helvetica Neue" w:cs="Helvetica Neue"/>
          <w:sz w:val="24"/>
          <w:szCs w:val="24"/>
          <w:u w:val="single"/>
        </w:rPr>
      </w:pPr>
    </w:p>
    <w:p w:rsidR="00E620A1" w:rsidRDefault="009969C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first initial a</w:t>
      </w:r>
      <w:r>
        <w:rPr>
          <w:rFonts w:ascii="Helvetica Neue" w:eastAsia="Helvetica Neue" w:hAnsi="Helvetica Neue" w:cs="Helvetica Neue"/>
          <w:sz w:val="24"/>
          <w:szCs w:val="24"/>
        </w:rPr>
        <w:t xml:space="preserve">nd last name in title of PDF, along with name of module. Example: “ERyanFirstStage.pdf”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 the text of each question, followed by a blank line and then your thought</w:t>
      </w:r>
      <w:r>
        <w:rPr>
          <w:rFonts w:ascii="Helvetica Neue" w:eastAsia="Helvetica Neue" w:hAnsi="Helvetica Neue" w:cs="Helvetica Neue"/>
          <w:sz w:val="24"/>
          <w:szCs w:val="24"/>
        </w:rPr>
        <w:t xml:space="preserve">ful answer (without the question, you have commentary without context)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Please leave margin space for our comments!</w:t>
      </w:r>
      <w:r>
        <w:rPr>
          <w:rFonts w:ascii="Helvetica Neue" w:eastAsia="Helvetica Neue" w:hAnsi="Helvetica Neue" w:cs="Helvetica Neue"/>
          <w:sz w:val="24"/>
          <w:szCs w:val="24"/>
        </w:rPr>
        <w:t xml:space="preserve">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E620A1" w:rsidRDefault="009969C1">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E620A1" w:rsidRDefault="00E620A1">
      <w:pPr>
        <w:spacing w:line="240" w:lineRule="auto"/>
        <w:contextualSpacing w:val="0"/>
        <w:rPr>
          <w:rFonts w:ascii="Helvetica Neue" w:eastAsia="Helvetica Neue" w:hAnsi="Helvetica Neue" w:cs="Helvetica Neue"/>
          <w:sz w:val="24"/>
          <w:szCs w:val="24"/>
          <w:u w:val="single"/>
        </w:rPr>
      </w:pPr>
    </w:p>
    <w:p w:rsidR="00E620A1" w:rsidRDefault="009969C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E620A1" w:rsidRDefault="009969C1">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w:t>
      </w:r>
      <w:r>
        <w:rPr>
          <w:rFonts w:ascii="Helvetica Neue" w:eastAsia="Helvetica Neue" w:hAnsi="Helvetica Neue" w:cs="Helvetica Neue"/>
          <w:sz w:val="24"/>
          <w:szCs w:val="24"/>
        </w:rPr>
        <w:t xml:space="preserve">view all resources, complete the attached short answer questions for assessment, long answer questions for deeper reflection, and learning activities/projects, and submit them as detailed above. Upon return to you, your coursework may have feedback or ask </w:t>
      </w:r>
      <w:r>
        <w:rPr>
          <w:rFonts w:ascii="Helvetica Neue" w:eastAsia="Helvetica Neue" w:hAnsi="Helvetica Neue" w:cs="Helvetica Neue"/>
          <w:sz w:val="24"/>
          <w:szCs w:val="24"/>
        </w:rPr>
        <w:t xml:space="preserve">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w:t>
      </w:r>
      <w:r>
        <w:rPr>
          <w:rFonts w:ascii="Helvetica Neue" w:eastAsia="Helvetica Neue" w:hAnsi="Helvetica Neue" w:cs="Helvetica Neue"/>
          <w:sz w:val="24"/>
          <w:szCs w:val="24"/>
        </w:rPr>
        <w:t xml:space="preserve">a </w:t>
      </w:r>
      <w:r>
        <w:rPr>
          <w:rFonts w:ascii="Helvetica Neue" w:eastAsia="Helvetica Neue" w:hAnsi="Helvetica Neue" w:cs="Helvetica Neue"/>
          <w:b/>
          <w:sz w:val="24"/>
          <w:szCs w:val="24"/>
        </w:rPr>
        <w:t xml:space="preserve">10. </w:t>
      </w:r>
    </w:p>
    <w:p w:rsidR="00E620A1" w:rsidRDefault="00E620A1">
      <w:pPr>
        <w:spacing w:line="240" w:lineRule="auto"/>
        <w:contextualSpacing w:val="0"/>
        <w:rPr>
          <w:rFonts w:ascii="Helvetica Neue" w:eastAsia="Helvetica Neue" w:hAnsi="Helvetica Neue" w:cs="Helvetica Neue"/>
          <w:b/>
          <w:sz w:val="24"/>
          <w:szCs w:val="24"/>
        </w:rPr>
      </w:pPr>
    </w:p>
    <w:p w:rsidR="00E620A1" w:rsidRDefault="00E620A1">
      <w:pPr>
        <w:spacing w:line="240" w:lineRule="auto"/>
        <w:contextualSpacing w:val="0"/>
        <w:rPr>
          <w:rFonts w:ascii="Helvetica Neue" w:eastAsia="Helvetica Neue" w:hAnsi="Helvetica Neue" w:cs="Helvetica Neue"/>
          <w:b/>
          <w:sz w:val="24"/>
          <w:szCs w:val="24"/>
        </w:rPr>
      </w:pPr>
    </w:p>
    <w:p w:rsidR="00E620A1" w:rsidRDefault="00E620A1">
      <w:pPr>
        <w:spacing w:line="240" w:lineRule="auto"/>
        <w:contextualSpacing w:val="0"/>
        <w:rPr>
          <w:rFonts w:ascii="Helvetica Neue" w:eastAsia="Helvetica Neue" w:hAnsi="Helvetica Neue" w:cs="Helvetica Neue"/>
          <w:b/>
          <w:sz w:val="24"/>
          <w:szCs w:val="24"/>
        </w:rPr>
      </w:pPr>
    </w:p>
    <w:tbl>
      <w:tblPr>
        <w:tblW w:w="9355" w:type="dxa"/>
        <w:tblInd w:w="274"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05335E" w:rsidRPr="000039C7" w:rsidTr="0005335E">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05335E" w:rsidRPr="000039C7" w:rsidRDefault="0005335E" w:rsidP="006655A1">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5335E" w:rsidRPr="000039C7" w:rsidRDefault="0005335E"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05335E" w:rsidRPr="000039C7" w:rsidRDefault="0005335E"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05335E" w:rsidRPr="000039C7" w:rsidRDefault="0005335E"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color w:val="FEFFFF"/>
                <w:sz w:val="20"/>
                <w:szCs w:val="20"/>
                <w:shd w:val="clear" w:color="auto" w:fill="91003D"/>
              </w:rPr>
              <w:t xml:space="preserve">Level 2 </w:t>
            </w:r>
          </w:p>
          <w:p w:rsidR="0005335E" w:rsidRPr="000039C7" w:rsidRDefault="0005335E"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color w:val="FEFFFF"/>
                <w:sz w:val="20"/>
                <w:szCs w:val="20"/>
                <w:shd w:val="clear" w:color="auto" w:fill="91003D"/>
              </w:rPr>
              <w:t xml:space="preserve">Level 3 </w:t>
            </w:r>
          </w:p>
          <w:p w:rsidR="0005335E" w:rsidRPr="000039C7" w:rsidRDefault="0005335E"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05335E" w:rsidRPr="000039C7" w:rsidRDefault="0005335E"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color w:val="FEFFFF"/>
                <w:sz w:val="20"/>
                <w:szCs w:val="20"/>
                <w:shd w:val="clear" w:color="auto" w:fill="91003D"/>
              </w:rPr>
              <w:t xml:space="preserve">Level 3 </w:t>
            </w:r>
          </w:p>
          <w:p w:rsidR="0005335E" w:rsidRPr="000039C7" w:rsidRDefault="0005335E"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color w:val="FEFFFF"/>
                <w:sz w:val="20"/>
                <w:szCs w:val="20"/>
                <w:shd w:val="clear" w:color="auto" w:fill="91003D"/>
              </w:rPr>
              <w:t>Student Score</w:t>
            </w:r>
          </w:p>
        </w:tc>
      </w:tr>
      <w:tr w:rsidR="0005335E" w:rsidRPr="000039C7" w:rsidTr="0005335E">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5335E" w:rsidRPr="000039C7" w:rsidRDefault="0005335E" w:rsidP="006655A1">
            <w:pPr>
              <w:rPr>
                <w:sz w:val="20"/>
                <w:szCs w:val="20"/>
              </w:rPr>
            </w:pPr>
          </w:p>
        </w:tc>
      </w:tr>
      <w:tr w:rsidR="0005335E" w:rsidRPr="000039C7" w:rsidTr="0005335E">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5335E" w:rsidRPr="000039C7" w:rsidRDefault="0005335E" w:rsidP="006655A1">
            <w:pPr>
              <w:rPr>
                <w:sz w:val="20"/>
                <w:szCs w:val="20"/>
              </w:rPr>
            </w:pPr>
          </w:p>
        </w:tc>
      </w:tr>
      <w:tr w:rsidR="0005335E" w:rsidRPr="000039C7" w:rsidTr="0005335E">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sz w:val="20"/>
                <w:szCs w:val="20"/>
                <w:shd w:val="clear" w:color="auto" w:fill="FFF0B2"/>
              </w:rPr>
              <w:lastRenderedPageBreak/>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05335E" w:rsidRPr="000039C7" w:rsidRDefault="0005335E"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05335E" w:rsidRPr="000039C7" w:rsidRDefault="0005335E"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05335E" w:rsidRPr="000039C7" w:rsidRDefault="0005335E"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05335E" w:rsidRPr="000039C7" w:rsidRDefault="0005335E"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5335E" w:rsidRPr="000039C7" w:rsidRDefault="0005335E" w:rsidP="006655A1">
            <w:pPr>
              <w:rPr>
                <w:sz w:val="20"/>
                <w:szCs w:val="20"/>
              </w:rPr>
            </w:pPr>
          </w:p>
        </w:tc>
      </w:tr>
      <w:tr w:rsidR="0005335E" w:rsidRPr="000039C7" w:rsidTr="0005335E">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5335E" w:rsidRPr="000039C7" w:rsidRDefault="0005335E"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05335E" w:rsidRPr="000039C7" w:rsidRDefault="0005335E"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5335E" w:rsidRPr="000039C7" w:rsidRDefault="0005335E" w:rsidP="006655A1">
            <w:pPr>
              <w:rPr>
                <w:sz w:val="20"/>
                <w:szCs w:val="20"/>
              </w:rPr>
            </w:pPr>
          </w:p>
        </w:tc>
      </w:tr>
      <w:tr w:rsidR="0005335E" w:rsidRPr="000039C7" w:rsidTr="0005335E">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5335E" w:rsidRPr="000039C7" w:rsidRDefault="0005335E" w:rsidP="006655A1">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5335E" w:rsidRPr="000039C7" w:rsidRDefault="0005335E"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05335E" w:rsidRPr="000039C7" w:rsidRDefault="0005335E" w:rsidP="006655A1">
            <w:pPr>
              <w:rPr>
                <w:sz w:val="20"/>
                <w:szCs w:val="20"/>
              </w:rPr>
            </w:pPr>
          </w:p>
        </w:tc>
      </w:tr>
    </w:tbl>
    <w:p w:rsidR="00E620A1" w:rsidRDefault="00E620A1">
      <w:pPr>
        <w:spacing w:line="240" w:lineRule="auto"/>
        <w:contextualSpacing w:val="0"/>
        <w:rPr>
          <w:rFonts w:ascii="Helvetica Neue" w:eastAsia="Helvetica Neue" w:hAnsi="Helvetica Neue" w:cs="Helvetica Neue"/>
          <w:b/>
          <w:sz w:val="24"/>
          <w:szCs w:val="24"/>
        </w:rPr>
      </w:pPr>
    </w:p>
    <w:p w:rsidR="00E620A1" w:rsidRDefault="00E620A1">
      <w:pPr>
        <w:spacing w:line="240" w:lineRule="auto"/>
        <w:contextualSpacing w:val="0"/>
        <w:rPr>
          <w:rFonts w:ascii="Helvetica Neue" w:eastAsia="Helvetica Neue" w:hAnsi="Helvetica Neue" w:cs="Helvetica Neue"/>
          <w:sz w:val="24"/>
          <w:szCs w:val="24"/>
        </w:rPr>
      </w:pPr>
    </w:p>
    <w:p w:rsidR="00E620A1" w:rsidRDefault="009969C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w:t>
      </w:r>
      <w:r>
        <w:rPr>
          <w:rFonts w:ascii="Helvetica Neue" w:eastAsia="Helvetica Neue" w:hAnsi="Helvetica Neue" w:cs="Helvetica Neue"/>
          <w:i/>
          <w:sz w:val="24"/>
          <w:szCs w:val="24"/>
        </w:rPr>
        <w:t>of Midwifery Skills.</w:t>
      </w:r>
      <w:r>
        <w:rPr>
          <w:rFonts w:ascii="Helvetica Neue" w:eastAsia="Helvetica Neue" w:hAnsi="Helvetica Neue" w:cs="Helvetica Neue"/>
          <w:sz w:val="24"/>
          <w:szCs w:val="24"/>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 xml:space="preserve">1. Midwifery Counseling, Education and Communication: </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t xml:space="preserve">J. Provides education, counseling and/or referral, where appropriate for: </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lastRenderedPageBreak/>
        <w:tab/>
      </w:r>
      <w:r w:rsidRPr="00680BDC">
        <w:rPr>
          <w:rFonts w:ascii="Helvetica Neue" w:eastAsia="Helvetica Neue" w:hAnsi="Helvetica Neue" w:cs="Helvetica Neue"/>
          <w:sz w:val="20"/>
          <w:szCs w:val="20"/>
        </w:rPr>
        <w:tab/>
        <w:t>8. Complications</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 xml:space="preserve">2. General Health care Skills: </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t>D. Demonstrates the use of instruments and equi</w:t>
      </w:r>
      <w:r w:rsidRPr="00680BDC">
        <w:rPr>
          <w:rFonts w:ascii="Helvetica Neue" w:eastAsia="Helvetica Neue" w:hAnsi="Helvetica Neue" w:cs="Helvetica Neue"/>
          <w:sz w:val="20"/>
          <w:szCs w:val="20"/>
        </w:rPr>
        <w:t xml:space="preserve">pment including: </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16. Needle and syringe</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18. Single dose ampule</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t>K. Administers the following pharmacologic (prescriptive) agents:</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1. Lidocaine </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2. Medical oxygen</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3. Methergine</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5. Pitocin ®</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6. </w:t>
      </w:r>
      <w:proofErr w:type="spellStart"/>
      <w:r w:rsidRPr="00680BDC">
        <w:rPr>
          <w:rFonts w:ascii="Helvetica Neue" w:eastAsia="Helvetica Neue" w:hAnsi="Helvetica Neue" w:cs="Helvetica Neue"/>
          <w:sz w:val="20"/>
          <w:szCs w:val="20"/>
        </w:rPr>
        <w:t>RhoGam</w:t>
      </w:r>
      <w:proofErr w:type="spellEnd"/>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3. Maternal Health Assessment:</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L. Establishes and follows emergency contingency plans for mother and/or newborn</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4. Labor, Birth and Immediate Postpartum</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t>D. Assesses the condition of, and provides care for the newborn by:</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13. Administering eye prophylaxis</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t xml:space="preserve">E. Assists in placental </w:t>
      </w:r>
      <w:r w:rsidRPr="00680BDC">
        <w:rPr>
          <w:rFonts w:ascii="Helvetica Neue" w:eastAsia="Helvetica Neue" w:hAnsi="Helvetica Neue" w:cs="Helvetica Neue"/>
          <w:sz w:val="20"/>
          <w:szCs w:val="20"/>
        </w:rPr>
        <w:t>delivery and responds to blood loss by:</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6. Responding to a trickle bleed by: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a) Assessing the origin of the blood,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b) responding to uterine bleeding with: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1) nipple stimulation/breastfeeding,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2) fundal massage,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 xml:space="preserve">3) assessment of fundal height and uterine size,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4) non-allopathic treatments,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5) administration of medication,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6) expression of clots,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7) emptying the bladder,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8) assessment of vital signs,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7. Responding to postpartum hemorrhag</w:t>
      </w:r>
      <w:r w:rsidRPr="00680BDC">
        <w:rPr>
          <w:rFonts w:ascii="Helvetica Neue" w:eastAsia="Helvetica Neue" w:hAnsi="Helvetica Neue" w:cs="Helvetica Neue"/>
          <w:sz w:val="20"/>
          <w:szCs w:val="20"/>
        </w:rPr>
        <w:t>e with:</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lang w:val="pt-BR"/>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lang w:val="pt-BR"/>
        </w:rPr>
        <w:t xml:space="preserve">a) </w:t>
      </w:r>
      <w:proofErr w:type="spellStart"/>
      <w:r w:rsidRPr="00680BDC">
        <w:rPr>
          <w:rFonts w:ascii="Helvetica Neue" w:eastAsia="Helvetica Neue" w:hAnsi="Helvetica Neue" w:cs="Helvetica Neue"/>
          <w:sz w:val="20"/>
          <w:szCs w:val="20"/>
          <w:lang w:val="pt-BR"/>
        </w:rPr>
        <w:t>fundal</w:t>
      </w:r>
      <w:proofErr w:type="spellEnd"/>
      <w:r w:rsidRPr="00680BDC">
        <w:rPr>
          <w:rFonts w:ascii="Helvetica Neue" w:eastAsia="Helvetica Neue" w:hAnsi="Helvetica Neue" w:cs="Helvetica Neue"/>
          <w:sz w:val="20"/>
          <w:szCs w:val="20"/>
          <w:lang w:val="pt-BR"/>
        </w:rPr>
        <w:t xml:space="preserve"> </w:t>
      </w:r>
      <w:proofErr w:type="spellStart"/>
      <w:r w:rsidRPr="00680BDC">
        <w:rPr>
          <w:rFonts w:ascii="Helvetica Neue" w:eastAsia="Helvetica Neue" w:hAnsi="Helvetica Neue" w:cs="Helvetica Neue"/>
          <w:sz w:val="20"/>
          <w:szCs w:val="20"/>
          <w:lang w:val="pt-BR"/>
        </w:rPr>
        <w:t>massage</w:t>
      </w:r>
      <w:proofErr w:type="spellEnd"/>
      <w:r w:rsidRPr="00680BDC">
        <w:rPr>
          <w:rFonts w:ascii="Helvetica Neue" w:eastAsia="Helvetica Neue" w:hAnsi="Helvetica Neue" w:cs="Helvetica Neue"/>
          <w:sz w:val="20"/>
          <w:szCs w:val="20"/>
          <w:lang w:val="pt-BR"/>
        </w:rPr>
        <w:t xml:space="preserve">,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lang w:val="pt-BR"/>
        </w:rPr>
      </w:pPr>
      <w:r w:rsidRPr="00680BDC">
        <w:rPr>
          <w:rFonts w:ascii="Helvetica Neue" w:eastAsia="Helvetica Neue" w:hAnsi="Helvetica Neue" w:cs="Helvetica Neue"/>
          <w:sz w:val="20"/>
          <w:szCs w:val="20"/>
          <w:lang w:val="pt-BR"/>
        </w:rPr>
        <w:tab/>
      </w:r>
      <w:r w:rsidRPr="00680BDC">
        <w:rPr>
          <w:rFonts w:ascii="Helvetica Neue" w:eastAsia="Helvetica Neue" w:hAnsi="Helvetica Neue" w:cs="Helvetica Neue"/>
          <w:sz w:val="20"/>
          <w:szCs w:val="20"/>
          <w:lang w:val="pt-BR"/>
        </w:rPr>
        <w:tab/>
      </w:r>
      <w:r w:rsidRPr="00680BDC">
        <w:rPr>
          <w:rFonts w:ascii="Helvetica Neue" w:eastAsia="Helvetica Neue" w:hAnsi="Helvetica Neue" w:cs="Helvetica Neue"/>
          <w:sz w:val="20"/>
          <w:szCs w:val="20"/>
          <w:lang w:val="pt-BR"/>
        </w:rPr>
        <w:tab/>
        <w:t xml:space="preserve">b) </w:t>
      </w:r>
      <w:proofErr w:type="spellStart"/>
      <w:r w:rsidRPr="00680BDC">
        <w:rPr>
          <w:rFonts w:ascii="Helvetica Neue" w:eastAsia="Helvetica Neue" w:hAnsi="Helvetica Neue" w:cs="Helvetica Neue"/>
          <w:sz w:val="20"/>
          <w:szCs w:val="20"/>
          <w:lang w:val="pt-BR"/>
        </w:rPr>
        <w:t>external</w:t>
      </w:r>
      <w:proofErr w:type="spellEnd"/>
      <w:r w:rsidRPr="00680BDC">
        <w:rPr>
          <w:rFonts w:ascii="Helvetica Neue" w:eastAsia="Helvetica Neue" w:hAnsi="Helvetica Neue" w:cs="Helvetica Neue"/>
          <w:sz w:val="20"/>
          <w:szCs w:val="20"/>
          <w:lang w:val="pt-BR"/>
        </w:rPr>
        <w:t xml:space="preserve"> </w:t>
      </w:r>
      <w:proofErr w:type="spellStart"/>
      <w:r w:rsidRPr="00680BDC">
        <w:rPr>
          <w:rFonts w:ascii="Helvetica Neue" w:eastAsia="Helvetica Neue" w:hAnsi="Helvetica Neue" w:cs="Helvetica Neue"/>
          <w:sz w:val="20"/>
          <w:szCs w:val="20"/>
          <w:lang w:val="pt-BR"/>
        </w:rPr>
        <w:t>bimanual</w:t>
      </w:r>
      <w:proofErr w:type="spellEnd"/>
      <w:r w:rsidRPr="00680BDC">
        <w:rPr>
          <w:rFonts w:ascii="Helvetica Neue" w:eastAsia="Helvetica Neue" w:hAnsi="Helvetica Neue" w:cs="Helvetica Neue"/>
          <w:sz w:val="20"/>
          <w:szCs w:val="20"/>
          <w:lang w:val="pt-BR"/>
        </w:rPr>
        <w:t xml:space="preserve"> </w:t>
      </w:r>
      <w:proofErr w:type="spellStart"/>
      <w:r w:rsidRPr="00680BDC">
        <w:rPr>
          <w:rFonts w:ascii="Helvetica Neue" w:eastAsia="Helvetica Neue" w:hAnsi="Helvetica Neue" w:cs="Helvetica Neue"/>
          <w:sz w:val="20"/>
          <w:szCs w:val="20"/>
          <w:lang w:val="pt-BR"/>
        </w:rPr>
        <w:t>compression</w:t>
      </w:r>
      <w:proofErr w:type="spellEnd"/>
      <w:r w:rsidRPr="00680BDC">
        <w:rPr>
          <w:rFonts w:ascii="Helvetica Neue" w:eastAsia="Helvetica Neue" w:hAnsi="Helvetica Neue" w:cs="Helvetica Neue"/>
          <w:sz w:val="20"/>
          <w:szCs w:val="20"/>
          <w:lang w:val="pt-BR"/>
        </w:rPr>
        <w:t xml:space="preserve">,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lang w:val="pt-BR"/>
        </w:rPr>
        <w:tab/>
      </w:r>
      <w:r w:rsidRPr="00680BDC">
        <w:rPr>
          <w:rFonts w:ascii="Helvetica Neue" w:eastAsia="Helvetica Neue" w:hAnsi="Helvetica Neue" w:cs="Helvetica Neue"/>
          <w:sz w:val="20"/>
          <w:szCs w:val="20"/>
          <w:lang w:val="pt-BR"/>
        </w:rPr>
        <w:tab/>
      </w:r>
      <w:r w:rsidRPr="00680BDC">
        <w:rPr>
          <w:rFonts w:ascii="Helvetica Neue" w:eastAsia="Helvetica Neue" w:hAnsi="Helvetica Neue" w:cs="Helvetica Neue"/>
          <w:sz w:val="20"/>
          <w:szCs w:val="20"/>
          <w:lang w:val="pt-BR"/>
        </w:rPr>
        <w:tab/>
      </w:r>
      <w:r w:rsidRPr="00680BDC">
        <w:rPr>
          <w:rFonts w:ascii="Helvetica Neue" w:eastAsia="Helvetica Neue" w:hAnsi="Helvetica Neue" w:cs="Helvetica Neue"/>
          <w:sz w:val="20"/>
          <w:szCs w:val="20"/>
        </w:rPr>
        <w:t xml:space="preserve">c) internal bimanual compression,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d) manual removal of clots,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e) administration of medication,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f) non-allopathic treatments,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 xml:space="preserve">g) maternal focus on stopping the </w:t>
      </w:r>
      <w:proofErr w:type="spellStart"/>
      <w:r w:rsidRPr="00680BDC">
        <w:rPr>
          <w:rFonts w:ascii="Helvetica Neue" w:eastAsia="Helvetica Neue" w:hAnsi="Helvetica Neue" w:cs="Helvetica Neue"/>
          <w:sz w:val="20"/>
          <w:szCs w:val="20"/>
        </w:rPr>
        <w:t>bleeding:tightening</w:t>
      </w:r>
      <w:proofErr w:type="spellEnd"/>
      <w:r w:rsidRPr="00680BDC">
        <w:rPr>
          <w:rFonts w:ascii="Helvetica Neue" w:eastAsia="Helvetica Neue" w:hAnsi="Helvetica Neue" w:cs="Helvetica Neue"/>
          <w:sz w:val="20"/>
          <w:szCs w:val="20"/>
        </w:rPr>
        <w:t xml:space="preserve"> the uterus, </w:t>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h) administration of oxygen, </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proofErr w:type="spellStart"/>
      <w:r w:rsidRPr="00680BDC">
        <w:rPr>
          <w:rFonts w:ascii="Helvetica Neue" w:eastAsia="Helvetica Neue" w:hAnsi="Helvetica Neue" w:cs="Helvetica Neue"/>
          <w:sz w:val="20"/>
          <w:szCs w:val="20"/>
        </w:rPr>
        <w:t>i</w:t>
      </w:r>
      <w:proofErr w:type="spellEnd"/>
      <w:r w:rsidRPr="00680BDC">
        <w:rPr>
          <w:rFonts w:ascii="Helvetica Neue" w:eastAsia="Helvetica Neue" w:hAnsi="Helvetica Neue" w:cs="Helvetica Neue"/>
          <w:sz w:val="20"/>
          <w:szCs w:val="20"/>
        </w:rPr>
        <w:t>) administration of IV fluids or appropriate referral for IV fluids,</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j) treatment for shock,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 xml:space="preserve">k) consulting and/or transferring, </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t>l) activati</w:t>
      </w:r>
      <w:r w:rsidRPr="00680BDC">
        <w:rPr>
          <w:rFonts w:ascii="Helvetica Neue" w:eastAsia="Helvetica Neue" w:hAnsi="Helvetica Neue" w:cs="Helvetica Neue"/>
          <w:sz w:val="20"/>
          <w:szCs w:val="20"/>
        </w:rPr>
        <w:t>ng emergency backup plan.</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5. Postpartum</w:t>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ab/>
        <w:t>C. Provides contraceptive education and counseling</w:t>
      </w:r>
      <w:r w:rsidRPr="00680BDC">
        <w:rPr>
          <w:rFonts w:ascii="Helvetica Neue" w:eastAsia="Helvetica Neue" w:hAnsi="Helvetica Neue" w:cs="Helvetica Neue"/>
          <w:sz w:val="20"/>
          <w:szCs w:val="20"/>
        </w:rPr>
        <w:tab/>
      </w:r>
      <w:r w:rsidRPr="00680BDC">
        <w:rPr>
          <w:rFonts w:ascii="Helvetica Neue" w:eastAsia="Helvetica Neue" w:hAnsi="Helvetica Neue" w:cs="Helvetica Neue"/>
          <w:sz w:val="20"/>
          <w:szCs w:val="20"/>
        </w:rPr>
        <w:tab/>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680BDC">
        <w:rPr>
          <w:rFonts w:ascii="Helvetica Neue" w:eastAsia="Helvetica Neue" w:hAnsi="Helvetica Neue" w:cs="Helvetica Neue"/>
          <w:sz w:val="20"/>
          <w:szCs w:val="20"/>
        </w:rPr>
        <w:t>6. Well-Women Care</w:t>
      </w:r>
      <w:r w:rsidRPr="00680BDC">
        <w:rPr>
          <w:rFonts w:ascii="Helvetica Neue" w:eastAsia="Helvetica Neue" w:hAnsi="Helvetica Neue" w:cs="Helvetica Neue"/>
          <w:sz w:val="20"/>
          <w:szCs w:val="20"/>
        </w:rPr>
        <w:tab/>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sidRPr="00680BDC">
        <w:rPr>
          <w:rFonts w:ascii="Helvetica Neue" w:eastAsia="Helvetica Neue" w:hAnsi="Helvetica Neue" w:cs="Helvetica Neue"/>
          <w:sz w:val="20"/>
          <w:szCs w:val="20"/>
        </w:rPr>
        <w:tab/>
        <w:t>F. Assesses client's family planning history and needs: counsels/prescribes</w:t>
      </w:r>
    </w:p>
    <w:p w:rsidR="00E620A1" w:rsidRDefault="00E620A1">
      <w:pPr>
        <w:spacing w:line="240" w:lineRule="auto"/>
        <w:contextualSpacing w:val="0"/>
        <w:rPr>
          <w:rFonts w:ascii="Helvetica Neue" w:eastAsia="Helvetica Neue" w:hAnsi="Helvetica Neue" w:cs="Helvetica Neue"/>
          <w:sz w:val="24"/>
          <w:szCs w:val="24"/>
        </w:rPr>
      </w:pPr>
    </w:p>
    <w:p w:rsidR="00E620A1" w:rsidRDefault="00E620A1">
      <w:pPr>
        <w:spacing w:line="240" w:lineRule="auto"/>
        <w:contextualSpacing w:val="0"/>
        <w:jc w:val="center"/>
        <w:rPr>
          <w:rFonts w:ascii="Helvetica Neue" w:eastAsia="Helvetica Neue" w:hAnsi="Helvetica Neue" w:cs="Helvetica Neue"/>
          <w:sz w:val="24"/>
          <w:szCs w:val="24"/>
          <w:u w:val="single"/>
        </w:rPr>
      </w:pPr>
    </w:p>
    <w:p w:rsidR="00680BDC" w:rsidRDefault="00680BDC">
      <w:pPr>
        <w:spacing w:line="240" w:lineRule="auto"/>
        <w:contextualSpacing w:val="0"/>
        <w:rPr>
          <w:rFonts w:ascii="Helvetica Neue" w:eastAsia="Helvetica Neue" w:hAnsi="Helvetica Neue" w:cs="Helvetica Neue"/>
          <w:color w:val="1155CC"/>
          <w:sz w:val="24"/>
          <w:szCs w:val="24"/>
          <w:u w:val="single"/>
        </w:rPr>
      </w:pPr>
    </w:p>
    <w:p w:rsidR="00680BDC" w:rsidRDefault="00680BDC">
      <w:pPr>
        <w:spacing w:line="240" w:lineRule="auto"/>
        <w:contextualSpacing w:val="0"/>
        <w:rPr>
          <w:rFonts w:ascii="Helvetica Neue" w:eastAsia="Helvetica Neue" w:hAnsi="Helvetica Neue" w:cs="Helvetica Neue"/>
          <w:color w:val="1155CC"/>
          <w:sz w:val="24"/>
          <w:szCs w:val="24"/>
          <w:u w:val="single"/>
        </w:rPr>
      </w:pPr>
    </w:p>
    <w:p w:rsidR="00680BDC" w:rsidRDefault="00680BDC">
      <w:pPr>
        <w:spacing w:line="240" w:lineRule="auto"/>
        <w:contextualSpacing w:val="0"/>
        <w:rPr>
          <w:rFonts w:ascii="Helvetica Neue" w:eastAsia="Helvetica Neue" w:hAnsi="Helvetica Neue" w:cs="Helvetica Neue"/>
          <w:color w:val="1155CC"/>
          <w:sz w:val="24"/>
          <w:szCs w:val="24"/>
          <w:u w:val="single"/>
        </w:rPr>
      </w:pPr>
    </w:p>
    <w:p w:rsidR="00680BDC" w:rsidRDefault="00680BDC">
      <w:pPr>
        <w:spacing w:line="240" w:lineRule="auto"/>
        <w:contextualSpacing w:val="0"/>
        <w:rPr>
          <w:rFonts w:ascii="Helvetica Neue" w:eastAsia="Helvetica Neue" w:hAnsi="Helvetica Neue" w:cs="Helvetica Neue"/>
          <w:color w:val="1155CC"/>
          <w:sz w:val="24"/>
          <w:szCs w:val="24"/>
          <w:u w:val="single"/>
        </w:rPr>
      </w:pPr>
    </w:p>
    <w:p w:rsidR="00680BDC" w:rsidRDefault="00680BDC">
      <w:pPr>
        <w:spacing w:line="240" w:lineRule="auto"/>
        <w:contextualSpacing w:val="0"/>
        <w:rPr>
          <w:rFonts w:ascii="Helvetica Neue" w:eastAsia="Helvetica Neue" w:hAnsi="Helvetica Neue" w:cs="Helvetica Neue"/>
          <w:color w:val="1155CC"/>
          <w:sz w:val="24"/>
          <w:szCs w:val="24"/>
          <w:u w:val="single"/>
        </w:rPr>
      </w:pPr>
    </w:p>
    <w:p w:rsidR="00680BDC" w:rsidRDefault="00680BDC">
      <w:pPr>
        <w:spacing w:line="240" w:lineRule="auto"/>
        <w:contextualSpacing w:val="0"/>
        <w:rPr>
          <w:rFonts w:ascii="Helvetica Neue" w:eastAsia="Helvetica Neue" w:hAnsi="Helvetica Neue" w:cs="Helvetica Neue"/>
          <w:color w:val="1155CC"/>
          <w:sz w:val="24"/>
          <w:szCs w:val="24"/>
          <w:u w:val="single"/>
        </w:rPr>
      </w:pPr>
    </w:p>
    <w:p w:rsidR="00680BDC" w:rsidRDefault="00680BDC">
      <w:pPr>
        <w:spacing w:line="240" w:lineRule="auto"/>
        <w:contextualSpacing w:val="0"/>
        <w:rPr>
          <w:rFonts w:ascii="Helvetica Neue" w:eastAsia="Helvetica Neue" w:hAnsi="Helvetica Neue" w:cs="Helvetica Neue"/>
          <w:color w:val="1155CC"/>
          <w:sz w:val="24"/>
          <w:szCs w:val="24"/>
          <w:u w:val="single"/>
        </w:rPr>
      </w:pPr>
    </w:p>
    <w:p w:rsidR="00E620A1" w:rsidRPr="00680BDC" w:rsidRDefault="009969C1">
      <w:pPr>
        <w:spacing w:line="240" w:lineRule="auto"/>
        <w:contextualSpacing w:val="0"/>
        <w:rPr>
          <w:rFonts w:ascii="Helvetica Neue" w:eastAsia="Helvetica Neue" w:hAnsi="Helvetica Neue" w:cs="Helvetica Neue"/>
          <w:color w:val="941100"/>
          <w:sz w:val="24"/>
          <w:szCs w:val="24"/>
          <w:u w:val="single"/>
        </w:rPr>
      </w:pPr>
      <w:r w:rsidRPr="00680BDC">
        <w:rPr>
          <w:rFonts w:ascii="Helvetica Neue" w:eastAsia="Helvetica Neue" w:hAnsi="Helvetica Neue" w:cs="Helvetica Neue"/>
          <w:color w:val="941100"/>
          <w:sz w:val="24"/>
          <w:szCs w:val="24"/>
          <w:u w:val="single"/>
        </w:rPr>
        <w:t>Introductory and Further Thoughts:</w:t>
      </w:r>
    </w:p>
    <w:p w:rsidR="00E620A1" w:rsidRPr="00680BDC"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color w:val="941100"/>
          <w:sz w:val="24"/>
          <w:szCs w:val="24"/>
          <w:shd w:val="clear" w:color="auto" w:fill="D9EAD3"/>
        </w:rPr>
      </w:pPr>
      <w:r w:rsidRPr="00680BDC">
        <w:rPr>
          <w:rFonts w:ascii="Helvetica Neue" w:eastAsia="Helvetica Neue" w:hAnsi="Helvetica Neue" w:cs="Helvetica Neue"/>
          <w:i/>
          <w:color w:val="941100"/>
          <w:sz w:val="24"/>
          <w:szCs w:val="24"/>
        </w:rPr>
        <w:t xml:space="preserve">Scope of practice for midwives in a variety of states/provinces/areas/jurisdictions may or may not provide for midwives to carry, administer, or prescribe medications. They also may or may not make allowances for midwives to administer medications orally, </w:t>
      </w:r>
      <w:r w:rsidRPr="00680BDC">
        <w:rPr>
          <w:rFonts w:ascii="Helvetica Neue" w:eastAsia="Helvetica Neue" w:hAnsi="Helvetica Neue" w:cs="Helvetica Neue"/>
          <w:i/>
          <w:color w:val="941100"/>
          <w:sz w:val="24"/>
          <w:szCs w:val="24"/>
        </w:rPr>
        <w:t>sublingually, by injection, or by IV. While these may not be in scope in your area, we know many midwives may not exclusively work in one area their entire career and we expect all students to demonstrate basic pharmacological knowledge</w:t>
      </w:r>
    </w:p>
    <w:p w:rsidR="00E620A1" w:rsidRDefault="00E620A1">
      <w:pPr>
        <w:spacing w:line="240" w:lineRule="auto"/>
        <w:contextualSpacing w:val="0"/>
        <w:rPr>
          <w:rFonts w:ascii="Helvetica Neue" w:eastAsia="Helvetica Neue" w:hAnsi="Helvetica Neue" w:cs="Helvetica Neue"/>
          <w:sz w:val="24"/>
          <w:szCs w:val="24"/>
        </w:rPr>
      </w:pPr>
    </w:p>
    <w:p w:rsidR="00E620A1" w:rsidRDefault="00E620A1">
      <w:pPr>
        <w:spacing w:line="240" w:lineRule="auto"/>
        <w:contextualSpacing w:val="0"/>
        <w:rPr>
          <w:rFonts w:ascii="Helvetica Neue" w:eastAsia="Helvetica Neue" w:hAnsi="Helvetica Neue" w:cs="Helvetica Neue"/>
          <w:sz w:val="20"/>
          <w:szCs w:val="20"/>
          <w:shd w:val="clear" w:color="auto" w:fill="D9EAD3"/>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 xml:space="preserve">Pharmacology For </w:t>
      </w:r>
      <w:r>
        <w:rPr>
          <w:rFonts w:ascii="Helvetica Neue" w:eastAsia="Helvetica Neue" w:hAnsi="Helvetica Neue" w:cs="Helvetica Neue"/>
          <w:b/>
          <w:sz w:val="28"/>
          <w:szCs w:val="28"/>
        </w:rPr>
        <w:t>Midwives</w:t>
      </w:r>
    </w:p>
    <w:p w:rsidR="00E620A1" w:rsidRDefault="009969C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620A1" w:rsidRDefault="009969C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620A1" w:rsidRDefault="009969C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E620A1" w:rsidRDefault="00E620A1">
      <w:pPr>
        <w:spacing w:line="240" w:lineRule="auto"/>
        <w:contextualSpacing w:val="0"/>
        <w:jc w:val="center"/>
        <w:rPr>
          <w:rFonts w:ascii="Helvetica Neue" w:eastAsia="Helvetica Neue" w:hAnsi="Helvetica Neue" w:cs="Helvetica Neue"/>
          <w:i/>
          <w:sz w:val="24"/>
          <w:szCs w:val="24"/>
        </w:rPr>
      </w:pPr>
    </w:p>
    <w:p w:rsidR="00E620A1" w:rsidRDefault="00E620A1">
      <w:pPr>
        <w:spacing w:line="240" w:lineRule="auto"/>
        <w:contextualSpacing w:val="0"/>
        <w:jc w:val="center"/>
        <w:rPr>
          <w:rFonts w:ascii="Helvetica Neue" w:eastAsia="Helvetica Neue" w:hAnsi="Helvetica Neue" w:cs="Helvetica Neue"/>
          <w:i/>
          <w:sz w:val="24"/>
          <w:szCs w:val="24"/>
        </w:rPr>
      </w:pPr>
    </w:p>
    <w:p w:rsidR="00E620A1" w:rsidRDefault="009969C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Overall Questions about Medications</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List the medications appropriate to out-of-hospital midwifery care, indicate the application for each, and how each are administered.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Describe the following classifications of FDA drug warning labels: </w:t>
      </w:r>
    </w:p>
    <w:p w:rsidR="00E620A1" w:rsidRDefault="00680BDC">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Class A</w:t>
      </w:r>
    </w:p>
    <w:p w:rsidR="00E620A1" w:rsidRDefault="009969C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Class B</w:t>
      </w:r>
    </w:p>
    <w:p w:rsidR="00E620A1" w:rsidRDefault="00680BDC">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Class C</w:t>
      </w:r>
    </w:p>
    <w:p w:rsidR="00E620A1" w:rsidRDefault="009969C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Class D</w:t>
      </w:r>
    </w:p>
    <w:p w:rsidR="00E620A1" w:rsidRDefault="00680BDC">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Class X</w:t>
      </w:r>
    </w:p>
    <w:p w:rsidR="00E620A1" w:rsidRDefault="00680BDC">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How do</w:t>
      </w:r>
      <w:r w:rsidR="009969C1">
        <w:rPr>
          <w:rFonts w:ascii="Helvetica Neue" w:eastAsia="Helvetica Neue" w:hAnsi="Helvetica Neue" w:cs="Helvetica Neue"/>
          <w:sz w:val="24"/>
          <w:szCs w:val="24"/>
        </w:rPr>
        <w:t xml:space="preserve"> you determine if a drug is Class A, B, C, or D?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In determining the need for any particular intervention in birth, including medication administration, what does the acronym B.R.A.I.N. stand for and how can it be used with clients?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Describe how to administer medications by the following routes:</w:t>
      </w:r>
    </w:p>
    <w:p w:rsidR="00E620A1" w:rsidRDefault="00680BD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 xml:space="preserve">intravenous (IV) </w:t>
      </w:r>
    </w:p>
    <w:p w:rsidR="00E620A1" w:rsidRDefault="009969C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intramuscular (IM)</w:t>
      </w:r>
    </w:p>
    <w:p w:rsidR="00E620A1" w:rsidRDefault="00680BD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subcutaneous</w:t>
      </w:r>
    </w:p>
    <w:p w:rsidR="00E620A1" w:rsidRDefault="009969C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oral (PO)</w:t>
      </w:r>
    </w:p>
    <w:p w:rsidR="00E620A1" w:rsidRDefault="00680BD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sublingual (SL)</w:t>
      </w:r>
    </w:p>
    <w:p w:rsidR="00E620A1" w:rsidRDefault="00680BD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buccal</w:t>
      </w:r>
    </w:p>
    <w:p w:rsidR="00E620A1" w:rsidRDefault="009969C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vaginal (PV)</w:t>
      </w:r>
    </w:p>
    <w:p w:rsidR="00E620A1" w:rsidRDefault="009969C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rectal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Translate the following short-hand terminology: </w:t>
      </w:r>
    </w:p>
    <w:p w:rsidR="00E620A1" w:rsidRDefault="009969C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bid</w:t>
      </w:r>
    </w:p>
    <w:p w:rsidR="00E620A1" w:rsidRDefault="009969C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lastRenderedPageBreak/>
        <w:t>tid</w:t>
      </w:r>
      <w:proofErr w:type="spellEnd"/>
      <w:r>
        <w:rPr>
          <w:rFonts w:ascii="Helvetica Neue" w:eastAsia="Helvetica Neue" w:hAnsi="Helvetica Neue" w:cs="Helvetica Neue"/>
          <w:sz w:val="24"/>
          <w:szCs w:val="24"/>
        </w:rPr>
        <w:t xml:space="preserve"> </w:t>
      </w:r>
    </w:p>
    <w:p w:rsidR="00E620A1" w:rsidRDefault="00B85638">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roofErr w:type="spellStart"/>
      <w:r w:rsidR="009969C1">
        <w:rPr>
          <w:rFonts w:ascii="Helvetica Neue" w:eastAsia="Helvetica Neue" w:hAnsi="Helvetica Neue" w:cs="Helvetica Neue"/>
          <w:sz w:val="24"/>
          <w:szCs w:val="24"/>
        </w:rPr>
        <w:t>qid</w:t>
      </w:r>
      <w:proofErr w:type="spellEnd"/>
      <w:r w:rsidR="009969C1">
        <w:rPr>
          <w:rFonts w:ascii="Helvetica Neue" w:eastAsia="Helvetica Neue" w:hAnsi="Helvetica Neue" w:cs="Helvetica Neue"/>
          <w:sz w:val="24"/>
          <w:szCs w:val="24"/>
        </w:rPr>
        <w:t xml:space="preserve"> </w:t>
      </w:r>
    </w:p>
    <w:p w:rsidR="00E620A1" w:rsidRDefault="009969C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q2h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When/Why is it critical to check the name and date of a medication?</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What size needle is used for the following applications: </w:t>
      </w:r>
    </w:p>
    <w:p w:rsidR="00E620A1" w:rsidRDefault="00B85638">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69C1">
        <w:rPr>
          <w:rFonts w:ascii="Helvetica Neue" w:eastAsia="Helvetica Neue" w:hAnsi="Helvetica Neue" w:cs="Helvetica Neue"/>
          <w:sz w:val="24"/>
          <w:szCs w:val="24"/>
        </w:rPr>
        <w:t xml:space="preserve">maternal IM injection </w:t>
      </w:r>
    </w:p>
    <w:p w:rsidR="00E620A1" w:rsidRDefault="009969C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newborn IM injection</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9. Why is it critical that you pull back on the syringe plunger prior to injec</w:t>
      </w:r>
      <w:r>
        <w:rPr>
          <w:rFonts w:ascii="Helvetica Neue" w:eastAsia="Helvetica Neue" w:hAnsi="Helvetica Neue" w:cs="Helvetica Neue"/>
          <w:sz w:val="24"/>
          <w:szCs w:val="24"/>
        </w:rPr>
        <w:t xml:space="preserve">ting a medication IM?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10. Define the parenteral route of medication administration.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11. What are systemic medications?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Describe the cardiopulmonary circulatory pattern.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Give instructions for opening a glass ampule (vial).</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When administ</w:t>
      </w:r>
      <w:r>
        <w:rPr>
          <w:rFonts w:ascii="Helvetica Neue" w:eastAsia="Helvetica Neue" w:hAnsi="Helvetica Neue" w:cs="Helvetica Neue"/>
          <w:sz w:val="24"/>
          <w:szCs w:val="24"/>
        </w:rPr>
        <w:t xml:space="preserve">ering medications, how do you chart your administration? Do you record administration site, route, medication lot #, expiration?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15. What resource(s)/reference(s) do you personally utilize when discussing or recommending over-the-counter medications with clients?</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16. How is a C/S (culture/sensitivity study) used to prescribe medication?</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Describe the administration of an epi-pe</w:t>
      </w:r>
      <w:r>
        <w:rPr>
          <w:rFonts w:ascii="Helvetica Neue" w:eastAsia="Helvetica Neue" w:hAnsi="Helvetica Neue" w:cs="Helvetica Neue"/>
          <w:sz w:val="24"/>
          <w:szCs w:val="24"/>
        </w:rPr>
        <w:t xml:space="preserve">n (epinephrine). Why is it important to always carry an epi-pen? </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Describe common symptoms of an allergic reaction, and when diphenhydramine or epinephrine would be indicated. </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How quickly does an allergic reaction usually manifest? How long does it take diphenhydramine or epinephrine to be effective?</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20. Which drugs may a client be allergic to? </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color w:val="A40800"/>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Medications used in Pregnancy</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21. How do you know if a drug is safe for use in</w:t>
      </w:r>
      <w:r>
        <w:rPr>
          <w:rFonts w:ascii="Helvetica Neue" w:eastAsia="Helvetica Neue" w:hAnsi="Helvetica Neue" w:cs="Helvetica Neue"/>
          <w:sz w:val="24"/>
          <w:szCs w:val="24"/>
        </w:rPr>
        <w:t xml:space="preserve"> pregnancy?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 For each of the following conditions (numbered below), answer the following: </w:t>
      </w:r>
    </w:p>
    <w:p w:rsidR="00E620A1" w:rsidRDefault="009969C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common </w:t>
      </w:r>
      <w:r>
        <w:rPr>
          <w:rFonts w:ascii="Helvetica Neue" w:eastAsia="Helvetica Neue" w:hAnsi="Helvetica Neue" w:cs="Helvetica Neue"/>
          <w:i/>
          <w:sz w:val="24"/>
          <w:szCs w:val="24"/>
        </w:rPr>
        <w:t>medications</w:t>
      </w:r>
      <w:r>
        <w:rPr>
          <w:rFonts w:ascii="Helvetica Neue" w:eastAsia="Helvetica Neue" w:hAnsi="Helvetica Neue" w:cs="Helvetica Neue"/>
          <w:sz w:val="24"/>
          <w:szCs w:val="24"/>
        </w:rPr>
        <w:t xml:space="preserve"> can be used to treat this? </w:t>
      </w:r>
    </w:p>
    <w:p w:rsidR="00E620A1" w:rsidRDefault="009969C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are these common medications safe in pregnancy? </w:t>
      </w:r>
    </w:p>
    <w:p w:rsidR="00E620A1" w:rsidRDefault="009969C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what is the classification of these drugs in pregnancy? </w:t>
      </w:r>
    </w:p>
    <w:p w:rsidR="00E620A1" w:rsidRDefault="009969C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t>
      </w:r>
      <w:r>
        <w:rPr>
          <w:rFonts w:ascii="Helvetica Neue" w:eastAsia="Helvetica Neue" w:hAnsi="Helvetica Neue" w:cs="Helvetica Neue"/>
          <w:sz w:val="24"/>
          <w:szCs w:val="24"/>
        </w:rPr>
        <w:t xml:space="preserve">w is this drug absorbed in the body? does it cross the placental barrier? </w:t>
      </w:r>
    </w:p>
    <w:p w:rsidR="00E620A1" w:rsidRDefault="009969C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common side effects may you see during its use?</w:t>
      </w:r>
    </w:p>
    <w:p w:rsidR="00E620A1" w:rsidRDefault="009969C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reactions might you see that tell you to discontinue its use? </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reflect on any personal or professional experience working with these medications. </w:t>
      </w:r>
    </w:p>
    <w:p w:rsidR="00E620A1" w:rsidRDefault="009969C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Vaginal yeast infections</w:t>
      </w:r>
    </w:p>
    <w:p w:rsidR="00E620A1" w:rsidRDefault="009969C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Headaches</w:t>
      </w:r>
    </w:p>
    <w:p w:rsidR="00E620A1" w:rsidRDefault="009969C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Cold and Flu</w:t>
      </w:r>
    </w:p>
    <w:p w:rsidR="00E620A1" w:rsidRDefault="009969C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Cough</w:t>
      </w:r>
    </w:p>
    <w:p w:rsidR="00E620A1" w:rsidRDefault="009969C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Diarrhea</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23. What is the medical/pharmacological treatment for herpes? When does this start in pregnancy</w:t>
      </w:r>
      <w:r>
        <w:rPr>
          <w:rFonts w:ascii="Helvetica Neue" w:eastAsia="Helvetica Neue" w:hAnsi="Helvetica Neue" w:cs="Helvetica Neue"/>
          <w:sz w:val="24"/>
          <w:szCs w:val="24"/>
        </w:rPr>
        <w:t xml:space="preserve">?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24. How is magnesium sulfate used in pregnancy? Under what circumstances? How is it administered?</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25. Why would antibiotics be prescribed in pregnancy? How do you know if an antibiotic is safe in pregnancy?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Discuss antiretroviral (ARV) therapy i</w:t>
      </w:r>
      <w:r>
        <w:rPr>
          <w:rFonts w:ascii="Helvetica Neue" w:eastAsia="Helvetica Neue" w:hAnsi="Helvetica Neue" w:cs="Helvetica Neue"/>
          <w:sz w:val="24"/>
          <w:szCs w:val="24"/>
        </w:rPr>
        <w:t>n pregnancy.</w:t>
      </w:r>
    </w:p>
    <w:p w:rsidR="00E620A1" w:rsidRDefault="009969C1">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safe ARV drug regimens for pregnant HIV-infected individuals?</w:t>
      </w:r>
    </w:p>
    <w:p w:rsidR="00E620A1" w:rsidRDefault="009969C1">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does ARV therapy reduce mother(parent)-to-child transmission? </w:t>
      </w:r>
    </w:p>
    <w:p w:rsidR="00E620A1" w:rsidRDefault="009969C1">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risks of ARV to baby?</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In some cases, even though a drug may be known to pass through the placenta, and this exposure may be less than optimal for babies, the benefits to your client outweigh the risks to baby. How do you counsel clients in these circumstances? </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28. Discuss</w:t>
      </w:r>
      <w:r>
        <w:rPr>
          <w:rFonts w:ascii="Helvetica Neue" w:eastAsia="Helvetica Neue" w:hAnsi="Helvetica Neue" w:cs="Helvetica Neue"/>
          <w:sz w:val="24"/>
          <w:szCs w:val="24"/>
        </w:rPr>
        <w:t xml:space="preserve"> SSRI use in pregnancy. What common SSRIs are used in pregnancy? What is their safety during pregnancy? Are there any risk to the newborn at birth?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Medications used in Labor</w:t>
      </w: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29. Which pharmacological options do we have for halting labor? Why would we want to halt labor?</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30. Why might antibiotics be administered during labor? Which antibiotics? How would you administer? On what schedule? </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31. Describe the administration of ni</w:t>
      </w:r>
      <w:r>
        <w:rPr>
          <w:rFonts w:ascii="Helvetica Neue" w:eastAsia="Helvetica Neue" w:hAnsi="Helvetica Neue" w:cs="Helvetica Neue"/>
          <w:sz w:val="24"/>
          <w:szCs w:val="24"/>
        </w:rPr>
        <w:t xml:space="preserve">trous oxide in labor. What is it used for?  </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32. Is nitrous oxide in labor an option for out-of-hospital midwives in your area? What are your reflections on it? How are you counseling clients on its administration? </w:t>
      </w:r>
    </w:p>
    <w:p w:rsidR="00E620A1" w:rsidRDefault="00E62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33. Describe the administration of ste</w:t>
      </w:r>
      <w:r>
        <w:rPr>
          <w:rFonts w:ascii="Helvetica Neue" w:eastAsia="Helvetica Neue" w:hAnsi="Helvetica Neue" w:cs="Helvetica Neue"/>
          <w:sz w:val="24"/>
          <w:szCs w:val="24"/>
        </w:rPr>
        <w:t xml:space="preserve">rile water papules for pain relief in labor.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Medications used in labor in the hospital</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34. The following medications (numbered below) are typically used for induction of labor in the hospital. For each medication, describe: </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it is administered</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it works in the body on a cellular level</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doses are commonly used</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common side effects or risks with taking the medication</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it can be stopped/removed if experiencing poor side effects</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also reflect on any personal or professional experience with t</w:t>
      </w:r>
      <w:r>
        <w:rPr>
          <w:rFonts w:ascii="Helvetica Neue" w:eastAsia="Helvetica Neue" w:hAnsi="Helvetica Neue" w:cs="Helvetica Neue"/>
          <w:sz w:val="24"/>
          <w:szCs w:val="24"/>
        </w:rPr>
        <w:t xml:space="preserve">hese medications. </w:t>
      </w:r>
    </w:p>
    <w:p w:rsidR="00E620A1" w:rsidRDefault="009969C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cervidil</w:t>
      </w:r>
      <w:proofErr w:type="spellEnd"/>
      <w:r>
        <w:rPr>
          <w:rFonts w:ascii="Helvetica Neue" w:eastAsia="Helvetica Neue" w:hAnsi="Helvetica Neue" w:cs="Helvetica Neue"/>
          <w:sz w:val="24"/>
          <w:szCs w:val="24"/>
        </w:rPr>
        <w:t xml:space="preserve"> or other cervical ripening agents</w:t>
      </w:r>
    </w:p>
    <w:p w:rsidR="00E620A1" w:rsidRDefault="009969C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Pitocin</w:t>
      </w:r>
    </w:p>
    <w:p w:rsidR="00E620A1" w:rsidRDefault="009969C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Misoprostol</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35. Describe how Pitocin is used to augment </w:t>
      </w:r>
      <w:proofErr w:type="spellStart"/>
      <w:r>
        <w:rPr>
          <w:rFonts w:ascii="Helvetica Neue" w:eastAsia="Helvetica Neue" w:hAnsi="Helvetica Neue" w:cs="Helvetica Neue"/>
          <w:sz w:val="24"/>
          <w:szCs w:val="24"/>
        </w:rPr>
        <w:t>labour</w:t>
      </w:r>
      <w:proofErr w:type="spellEnd"/>
      <w:r>
        <w:rPr>
          <w:rFonts w:ascii="Helvetica Neue" w:eastAsia="Helvetica Neue" w:hAnsi="Helvetica Neue" w:cs="Helvetica Neue"/>
          <w:sz w:val="24"/>
          <w:szCs w:val="24"/>
        </w:rPr>
        <w:t xml:space="preserve"> contractions.</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The following medications (or medication types) (numbered below) may be used for pain relief in </w:t>
      </w:r>
      <w:proofErr w:type="spellStart"/>
      <w:r>
        <w:rPr>
          <w:rFonts w:ascii="Helvetica Neue" w:eastAsia="Helvetica Neue" w:hAnsi="Helvetica Neue" w:cs="Helvetica Neue"/>
          <w:sz w:val="24"/>
          <w:szCs w:val="24"/>
        </w:rPr>
        <w:t>labour</w:t>
      </w:r>
      <w:proofErr w:type="spellEnd"/>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in a hospital. For each medication, describe: </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it is administered</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it works in the body on a cellular level</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effective of pain relief does it typically provide? </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is there a common dilation window at which it can/cannot be administered? </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common si</w:t>
      </w:r>
      <w:r>
        <w:rPr>
          <w:rFonts w:ascii="Helvetica Neue" w:eastAsia="Helvetica Neue" w:hAnsi="Helvetica Neue" w:cs="Helvetica Neue"/>
          <w:sz w:val="24"/>
          <w:szCs w:val="24"/>
        </w:rPr>
        <w:t>de effects or risks with taking the medication</w:t>
      </w:r>
    </w:p>
    <w:p w:rsidR="00E620A1" w:rsidRDefault="009969C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it can be stopped/removed if experiencing poor side effects</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also reflect on any personal or professional experience with these medications. </w:t>
      </w:r>
    </w:p>
    <w:p w:rsidR="00E620A1" w:rsidRDefault="009969C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morphine</w:t>
      </w:r>
    </w:p>
    <w:p w:rsidR="00E620A1" w:rsidRDefault="009969C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narcotic analgesics</w:t>
      </w:r>
    </w:p>
    <w:p w:rsidR="00E620A1" w:rsidRDefault="009969C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epidural analgesia</w:t>
      </w:r>
    </w:p>
    <w:p w:rsidR="00E620A1" w:rsidRDefault="009969C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spinal analgesia</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37. Under what circumstances might steroids be given in pregnancy or in </w:t>
      </w:r>
      <w:proofErr w:type="spellStart"/>
      <w:r>
        <w:rPr>
          <w:rFonts w:ascii="Helvetica Neue" w:eastAsia="Helvetica Neue" w:hAnsi="Helvetica Neue" w:cs="Helvetica Neue"/>
          <w:sz w:val="24"/>
          <w:szCs w:val="24"/>
        </w:rPr>
        <w:t>labour</w:t>
      </w:r>
      <w:proofErr w:type="spellEnd"/>
      <w:r>
        <w:rPr>
          <w:rFonts w:ascii="Helvetica Neue" w:eastAsia="Helvetica Neue" w:hAnsi="Helvetica Neue" w:cs="Helvetica Neue"/>
          <w:sz w:val="24"/>
          <w:szCs w:val="24"/>
        </w:rPr>
        <w:t xml:space="preserve">?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IV Administration</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38. Under what circumstances in pregnancy, labor, and postpartum would you administer an IV?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39. List the supplies needed for IV administration.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40. List step-by-step how you start an IV.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41. Describe the process of osmosis.</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18"/>
          <w:szCs w:val="18"/>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42. Describe the solute level of an isotonic IV solution.</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43. What IV solution is appropriate for out-of-hospital use in midwifery care?</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lastRenderedPageBreak/>
        <w:t>44. Describe what happens with the erroneous application of a hypotonic IV solution. Describe what happens with the erroneous application of a hypertonic IV solution.</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45. What is an air embolism? What are the symptoms of an air embolism? How do you respon</w:t>
      </w:r>
      <w:r>
        <w:rPr>
          <w:rFonts w:ascii="Helvetica Neue" w:eastAsia="Helvetica Neue" w:hAnsi="Helvetica Neue" w:cs="Helvetica Neue"/>
          <w:sz w:val="24"/>
          <w:szCs w:val="24"/>
        </w:rPr>
        <w:t>d to symptoms of an air embolism?</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46. In the context of a hospital birth, what reasons are given to justify routine IV administration?</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47. In the context of a hospital birth, what circumstances necessitate an IV?</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Medications used Postpartum for your Cli</w:t>
      </w:r>
      <w:r>
        <w:rPr>
          <w:rFonts w:ascii="Helvetica Neue" w:eastAsia="Helvetica Neue" w:hAnsi="Helvetica Neue" w:cs="Helvetica Neue"/>
          <w:b/>
          <w:sz w:val="24"/>
          <w:szCs w:val="24"/>
        </w:rPr>
        <w:t>ent</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48. When managing a postpartum hemorrhage, what are your pharmacological options or tools for treatment? Which do you go to first? Which second? Third? Which can be used to help expel the placenta and which must be used once the placenta is out?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49.</w:t>
      </w:r>
      <w:r>
        <w:rPr>
          <w:rFonts w:ascii="Helvetica Neue" w:eastAsia="Helvetica Neue" w:hAnsi="Helvetica Neue" w:cs="Helvetica Neue"/>
          <w:b/>
          <w:sz w:val="24"/>
          <w:szCs w:val="24"/>
        </w:rPr>
        <w:t xml:space="preserve"> </w:t>
      </w:r>
      <w:r>
        <w:rPr>
          <w:rFonts w:ascii="Helvetica Neue" w:eastAsia="Helvetica Neue" w:hAnsi="Helvetica Neue" w:cs="Helvetica Neue"/>
          <w:sz w:val="24"/>
          <w:szCs w:val="24"/>
        </w:rPr>
        <w:t>When would we administer Lidocaine? In what percentage?</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50. What may a newly postpartum client take to help ease after pains?</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51. What pharmacological recommendations do you have for infection postpartum? How does your client access these? Which are safe</w:t>
      </w:r>
      <w:r>
        <w:rPr>
          <w:rFonts w:ascii="Helvetica Neue" w:eastAsia="Helvetica Neue" w:hAnsi="Helvetica Neue" w:cs="Helvetica Neue"/>
          <w:sz w:val="24"/>
          <w:szCs w:val="24"/>
        </w:rPr>
        <w:t xml:space="preserve"> for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52. Discuss Rhogam and Rhogam administration.</w:t>
      </w:r>
    </w:p>
    <w:p w:rsidR="00E620A1" w:rsidRDefault="009969C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why is Rhogam administered?</w:t>
      </w:r>
    </w:p>
    <w:p w:rsidR="00E620A1" w:rsidRDefault="009969C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is Rhogam stored?</w:t>
      </w:r>
    </w:p>
    <w:p w:rsidR="00E620A1" w:rsidRDefault="009969C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is Rhogam packaged? </w:t>
      </w:r>
    </w:p>
    <w:p w:rsidR="00E620A1" w:rsidRDefault="009969C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is it administered, and when?</w:t>
      </w:r>
    </w:p>
    <w:p w:rsidR="00E620A1" w:rsidRDefault="009969C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Why might a client decline Rhogam? How do you counsel clients about declining Rhogam?</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53. What must you consider when informing a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client of their medication options?</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54. What are the Lactation Drug Risk Categories?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b/>
          <w:sz w:val="24"/>
          <w:szCs w:val="24"/>
        </w:rPr>
        <w:t>Medication</w:t>
      </w:r>
      <w:r>
        <w:rPr>
          <w:rFonts w:ascii="Helvetica Neue" w:eastAsia="Helvetica Neue" w:hAnsi="Helvetica Neue" w:cs="Helvetica Neue"/>
          <w:b/>
          <w:sz w:val="24"/>
          <w:szCs w:val="24"/>
        </w:rPr>
        <w:t>s used Postpartum for a baby</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55. Discuss Vitamin K and Vitamin K administration.</w:t>
      </w:r>
    </w:p>
    <w:p w:rsidR="00E620A1" w:rsidRDefault="009969C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why do we administer Vitamin K?</w:t>
      </w:r>
    </w:p>
    <w:p w:rsidR="00E620A1" w:rsidRDefault="009969C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routes of administration for Vitamin K?</w:t>
      </w:r>
    </w:p>
    <w:p w:rsidR="00E620A1" w:rsidRDefault="009969C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proper dosage for the different routes of Vitamin K administration?</w:t>
      </w:r>
    </w:p>
    <w:p w:rsidR="00E620A1" w:rsidRDefault="009969C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why do some clients decline Vitamin K administration?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56. Discuss newborn ophthalmic ointment.</w:t>
      </w:r>
    </w:p>
    <w:p w:rsidR="00E620A1" w:rsidRDefault="009969C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application of newborn ophthalmic medication intended to prevent?</w:t>
      </w:r>
    </w:p>
    <w:p w:rsidR="00E620A1" w:rsidRDefault="009969C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effective is it at preventing what it’s intended to prevent?</w:t>
      </w:r>
    </w:p>
    <w:p w:rsidR="00E620A1" w:rsidRDefault="009969C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how is it administered? in what dosage?</w:t>
      </w:r>
    </w:p>
    <w:p w:rsidR="00E620A1" w:rsidRDefault="009969C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why do some clients decline newborn ophthalmic ointment?</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57. Discuss the microbiome and how it relates to newborn gut health. </w:t>
      </w:r>
    </w:p>
    <w:p w:rsidR="00E620A1" w:rsidRDefault="009969C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describe the microbiome as you understand it. </w:t>
      </w:r>
    </w:p>
    <w:p w:rsidR="00E620A1" w:rsidRDefault="009969C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may your client’s newborn develop if</w:t>
      </w:r>
      <w:r>
        <w:rPr>
          <w:rFonts w:ascii="Helvetica Neue" w:eastAsia="Helvetica Neue" w:hAnsi="Helvetica Neue" w:cs="Helvetica Neue"/>
          <w:sz w:val="24"/>
          <w:szCs w:val="24"/>
        </w:rPr>
        <w:t xml:space="preserve"> your client is taking antibiotics? </w:t>
      </w:r>
    </w:p>
    <w:p w:rsidR="00E620A1" w:rsidRDefault="009969C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effect do antibiotics and other medications in labor and postpartum have on newborn gut health?</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58. What is the recommended immunization schedule for infants in your country? </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59. What is the medical rationale fo</w:t>
      </w:r>
      <w:r>
        <w:rPr>
          <w:rFonts w:ascii="Helvetica Neue" w:eastAsia="Helvetica Neue" w:hAnsi="Helvetica Neue" w:cs="Helvetica Neue"/>
          <w:sz w:val="24"/>
          <w:szCs w:val="24"/>
        </w:rPr>
        <w:t>r childhood immunizations?</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60. What are the current arguments for alternatives to the medically recommended immunization schedule for infants?</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E620A1">
      <w:pPr>
        <w:spacing w:line="240" w:lineRule="auto"/>
        <w:contextualSpacing w:val="0"/>
        <w:rPr>
          <w:rFonts w:ascii="Helvetica Neue" w:eastAsia="Helvetica Neue" w:hAnsi="Helvetica Neue" w:cs="Helvetica Neue"/>
          <w:sz w:val="24"/>
          <w:szCs w:val="24"/>
          <w:shd w:val="clear" w:color="auto" w:fill="D9EAD3"/>
        </w:rPr>
      </w:pPr>
    </w:p>
    <w:p w:rsidR="00E620A1" w:rsidRDefault="00E620A1">
      <w:pPr>
        <w:spacing w:line="240" w:lineRule="auto"/>
        <w:contextualSpacing w:val="0"/>
        <w:rPr>
          <w:rFonts w:ascii="Helvetica Neue" w:eastAsia="Helvetica Neue" w:hAnsi="Helvetica Neue" w:cs="Helvetica Neue"/>
          <w:sz w:val="24"/>
          <w:szCs w:val="24"/>
        </w:rPr>
      </w:pPr>
    </w:p>
    <w:p w:rsidR="00E620A1" w:rsidRDefault="00E620A1">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spacing w:line="240" w:lineRule="auto"/>
        <w:contextualSpacing w:val="0"/>
        <w:rPr>
          <w:rFonts w:ascii="Helvetica Neue" w:eastAsia="Helvetica Neue" w:hAnsi="Helvetica Neue" w:cs="Helvetica Neue"/>
          <w:sz w:val="20"/>
          <w:szCs w:val="20"/>
          <w:shd w:val="clear" w:color="auto" w:fill="D9EAD3"/>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P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Cs/>
          <w:sz w:val="28"/>
          <w:szCs w:val="28"/>
        </w:rPr>
      </w:pP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r>
      <w:r w:rsidRPr="00B85638">
        <w:rPr>
          <w:rFonts w:ascii="Helvetica Neue" w:eastAsia="Helvetica Neue" w:hAnsi="Helvetica Neue" w:cs="Helvetica Neue"/>
          <w:bCs/>
          <w:sz w:val="28"/>
          <w:szCs w:val="28"/>
        </w:rPr>
        <w:tab/>
        <w:t>Continued…..</w:t>
      </w: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B85638" w:rsidRDefault="00B85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Pharmacology For Midwives</w:t>
      </w:r>
    </w:p>
    <w:p w:rsidR="00E620A1" w:rsidRDefault="009969C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620A1" w:rsidRDefault="009969C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620A1" w:rsidRDefault="009969C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E620A1" w:rsidRDefault="00E620A1">
      <w:pPr>
        <w:spacing w:line="240" w:lineRule="auto"/>
        <w:contextualSpacing w:val="0"/>
        <w:jc w:val="center"/>
        <w:rPr>
          <w:rFonts w:ascii="Helvetica Neue" w:eastAsia="Helvetica Neue" w:hAnsi="Helvetica Neue" w:cs="Helvetica Neue"/>
          <w:i/>
          <w:sz w:val="24"/>
          <w:szCs w:val="24"/>
        </w:rPr>
      </w:pPr>
    </w:p>
    <w:p w:rsidR="00E620A1" w:rsidRDefault="00E620A1">
      <w:pPr>
        <w:spacing w:line="240" w:lineRule="auto"/>
        <w:contextualSpacing w:val="0"/>
        <w:jc w:val="center"/>
        <w:rPr>
          <w:rFonts w:ascii="Helvetica Neue" w:eastAsia="Helvetica Neue" w:hAnsi="Helvetica Neue" w:cs="Helvetica Neue"/>
          <w:i/>
          <w:sz w:val="24"/>
          <w:szCs w:val="24"/>
        </w:rPr>
      </w:pPr>
    </w:p>
    <w:p w:rsidR="00E620A1" w:rsidRDefault="009969C1">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E620A1" w:rsidRDefault="009969C1">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61. Read and consider the entries in a drug guide for all the medications that you listed in abov</w:t>
      </w:r>
      <w:r>
        <w:rPr>
          <w:rFonts w:ascii="Helvetica Neue" w:eastAsia="Helvetica Neue" w:hAnsi="Helvetica Neue" w:cs="Helvetica Neue"/>
          <w:sz w:val="24"/>
          <w:szCs w:val="24"/>
        </w:rPr>
        <w:t>e questions. What information did you find surprising?</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62. Obtain the IV equipment/supplies necessary for IV administration. Practice the set-up procedure, aseptic technique and “venipuncture” on a banana or stuffed glove. Time drip rates commonly used in</w:t>
      </w:r>
      <w:r>
        <w:rPr>
          <w:rFonts w:ascii="Helvetica Neue" w:eastAsia="Helvetica Neue" w:hAnsi="Helvetica Neue" w:cs="Helvetica Neue"/>
          <w:sz w:val="24"/>
          <w:szCs w:val="24"/>
        </w:rPr>
        <w:t xml:space="preserve"> pregnancy and labor.</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63. Obtain a copy of the midwifery license law and rules &amp; </w:t>
      </w:r>
      <w:proofErr w:type="spellStart"/>
      <w:r>
        <w:rPr>
          <w:rFonts w:ascii="Helvetica Neue" w:eastAsia="Helvetica Neue" w:hAnsi="Helvetica Neue" w:cs="Helvetica Neue"/>
          <w:sz w:val="24"/>
          <w:szCs w:val="24"/>
        </w:rPr>
        <w:t>regs</w:t>
      </w:r>
      <w:proofErr w:type="spellEnd"/>
      <w:r>
        <w:rPr>
          <w:rFonts w:ascii="Helvetica Neue" w:eastAsia="Helvetica Neue" w:hAnsi="Helvetica Neue" w:cs="Helvetica Neue"/>
          <w:sz w:val="24"/>
          <w:szCs w:val="24"/>
        </w:rPr>
        <w:t xml:space="preserve"> for midwifery practice in your state. What are the legal requirements and limitations of the midwifery license regarding the use of medications and IV administration in </w:t>
      </w:r>
      <w:r>
        <w:rPr>
          <w:rFonts w:ascii="Helvetica Neue" w:eastAsia="Helvetica Neue" w:hAnsi="Helvetica Neue" w:cs="Helvetica Neue"/>
          <w:sz w:val="24"/>
          <w:szCs w:val="24"/>
        </w:rPr>
        <w:t>your state?</w:t>
      </w: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How does this compare with the national certification, NARM CPM?</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64. Draft practice guidelines for the use of medications in your own practice. Refer to the medications listed above. Submit this draft and include it later in your Practice Guid</w:t>
      </w:r>
      <w:r>
        <w:rPr>
          <w:rFonts w:ascii="Helvetica Neue" w:eastAsia="Helvetica Neue" w:hAnsi="Helvetica Neue" w:cs="Helvetica Neue"/>
          <w:sz w:val="24"/>
          <w:szCs w:val="24"/>
        </w:rPr>
        <w:t>elines projects (in the Charting and Practice Guidelines Module.)</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65. Draft practice guidelines for the use of IV fluids in your own practice. If you do not administer IV fluids, make reference to informed consent, indications for the need for IV, chartin</w:t>
      </w:r>
      <w:r>
        <w:rPr>
          <w:rFonts w:ascii="Helvetica Neue" w:eastAsia="Helvetica Neue" w:hAnsi="Helvetica Neue" w:cs="Helvetica Neue"/>
          <w:sz w:val="24"/>
          <w:szCs w:val="24"/>
        </w:rPr>
        <w:t>g and your transport plan. Submit this draft and include it later in your Practice Guidelines projects (in the Charting and Practice Guidelines Module.)</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u w:val="single"/>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66. Draft practice guidelines for the screening of ABO and RH factor in your practice, and your admini</w:t>
      </w:r>
      <w:r>
        <w:rPr>
          <w:rFonts w:ascii="Helvetica Neue" w:eastAsia="Helvetica Neue" w:hAnsi="Helvetica Neue" w:cs="Helvetica Neue"/>
          <w:sz w:val="24"/>
          <w:szCs w:val="24"/>
        </w:rPr>
        <w:t>stration of Rhogam. Include information on your informed choice conversations, screening of partners where applicable, and rescreening in pregnancy and postpartum. Submit this draft and include it later in your Practice Guidelines projects (in the Charting</w:t>
      </w:r>
      <w:r>
        <w:rPr>
          <w:rFonts w:ascii="Helvetica Neue" w:eastAsia="Helvetica Neue" w:hAnsi="Helvetica Neue" w:cs="Helvetica Neue"/>
          <w:sz w:val="24"/>
          <w:szCs w:val="24"/>
        </w:rPr>
        <w:t xml:space="preserve"> and Practice Guidelines Module.)</w:t>
      </w:r>
    </w:p>
    <w:p w:rsidR="00E620A1" w:rsidRDefault="00E62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u w:val="single"/>
        </w:rPr>
      </w:pPr>
    </w:p>
    <w:p w:rsidR="00E620A1" w:rsidRDefault="00996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67. Make yourself a chart, cheat sheet, index cards, or some other quick reference for all the drugs you may carry with you in your jurisdiction. Include drug and brand name, dosage, administration, common side effects, any particular considerations, and a</w:t>
      </w:r>
      <w:r>
        <w:rPr>
          <w:rFonts w:ascii="Helvetica Neue" w:eastAsia="Helvetica Neue" w:hAnsi="Helvetica Neue" w:cs="Helvetica Neue"/>
          <w:sz w:val="24"/>
          <w:szCs w:val="24"/>
        </w:rPr>
        <w:t>ny other simultaneous needed actions. Consider carrying this with you and your medications always. Consider how you will regularly review and update this information, and how you will review it with any assistants, etc.</w:t>
      </w:r>
    </w:p>
    <w:p w:rsidR="00E620A1" w:rsidRDefault="00E620A1">
      <w:pPr>
        <w:contextualSpacing w:val="0"/>
        <w:rPr>
          <w:rFonts w:ascii="Helvetica Neue" w:eastAsia="Helvetica Neue" w:hAnsi="Helvetica Neue" w:cs="Helvetica Neue"/>
          <w:sz w:val="24"/>
          <w:szCs w:val="24"/>
        </w:rPr>
      </w:pPr>
    </w:p>
    <w:p w:rsidR="00E620A1" w:rsidRDefault="00E620A1">
      <w:pPr>
        <w:spacing w:line="240" w:lineRule="auto"/>
        <w:contextualSpacing w:val="0"/>
        <w:rPr>
          <w:rFonts w:ascii="Helvetica Neue" w:eastAsia="Helvetica Neue" w:hAnsi="Helvetica Neue" w:cs="Helvetica Neue"/>
          <w:sz w:val="24"/>
          <w:szCs w:val="24"/>
        </w:rPr>
      </w:pPr>
    </w:p>
    <w:p w:rsidR="00E620A1" w:rsidRDefault="00E620A1">
      <w:pPr>
        <w:contextualSpacing w:val="0"/>
      </w:pPr>
      <w:bookmarkStart w:id="0" w:name="_GoBack"/>
      <w:bookmarkEnd w:id="0"/>
    </w:p>
    <w:sectPr w:rsidR="00E620A1" w:rsidSect="0005335E">
      <w:footerReference w:type="default" r:id="rId7"/>
      <w:headerReference w:type="first" r:id="rId8"/>
      <w:footerReference w:type="first" r:id="rId9"/>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C1" w:rsidRDefault="009969C1" w:rsidP="0005335E">
      <w:pPr>
        <w:spacing w:line="240" w:lineRule="auto"/>
      </w:pPr>
      <w:r>
        <w:separator/>
      </w:r>
    </w:p>
  </w:endnote>
  <w:endnote w:type="continuationSeparator" w:id="0">
    <w:p w:rsidR="009969C1" w:rsidRDefault="009969C1" w:rsidP="00053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5E" w:rsidRPr="000039C7" w:rsidRDefault="0005335E" w:rsidP="0005335E">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05335E" w:rsidRDefault="00A629A8" w:rsidP="0005335E">
    <w:pPr>
      <w:pStyle w:val="Footer"/>
      <w:jc w:val="center"/>
    </w:pPr>
    <w:r>
      <w:rPr>
        <w:noProof/>
      </w:rPr>
      <mc:AlternateContent>
        <mc:Choice Requires="wps">
          <w:drawing>
            <wp:anchor distT="152400" distB="152400" distL="152400" distR="152400" simplePos="0" relativeHeight="251661312" behindDoc="0" locked="0" layoutInCell="1" allowOverlap="1" wp14:anchorId="7B03C177" wp14:editId="5A21F581">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A629A8" w:rsidRPr="00441244" w:rsidRDefault="00A629A8" w:rsidP="00A629A8">
                          <w:pPr>
                            <w:pStyle w:val="FreeForm"/>
                            <w:rPr>
                              <w:rFonts w:asciiTheme="majorHAnsi" w:hAnsiTheme="majorHAnsi"/>
                              <w:color w:val="91003D"/>
                              <w:sz w:val="16"/>
                              <w:szCs w:val="16"/>
                            </w:rPr>
                          </w:pPr>
                        </w:p>
                        <w:p w:rsidR="00A629A8" w:rsidRPr="00441244" w:rsidRDefault="00A629A8" w:rsidP="00A629A8">
                          <w:pPr>
                            <w:pStyle w:val="FreeForm"/>
                          </w:pPr>
                          <w:r w:rsidRPr="00441244">
                            <w:rPr>
                              <w:color w:val="91003D"/>
                            </w:rPr>
                            <w:t xml:space="preserve">Study Group Module: </w:t>
                          </w:r>
                          <w:r>
                            <w:rPr>
                              <w:rFonts w:eastAsia="Helvetica Neue" w:cs="Helvetica Neue"/>
                              <w:color w:val="941100"/>
                            </w:rPr>
                            <w:t>Pharmacology</w:t>
                          </w:r>
                        </w:p>
                        <w:p w:rsidR="00A629A8" w:rsidRDefault="00A629A8" w:rsidP="00A629A8">
                          <w:pPr>
                            <w:jc w:val="center"/>
                          </w:pPr>
                        </w:p>
                      </w:txbxContent>
                    </wps:txbx>
                    <wps:bodyPr/>
                  </wps:wsp>
                </a:graphicData>
              </a:graphic>
            </wp:anchor>
          </w:drawing>
        </mc:Choice>
        <mc:Fallback>
          <w:pict>
            <v:rect w14:anchorId="7B03C177" id="officeArt object" o:spid="_x0000_s1026" style="position:absolute;left:0;text-align:left;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A629A8" w:rsidRPr="00441244" w:rsidRDefault="00A629A8" w:rsidP="00A629A8">
                    <w:pPr>
                      <w:pStyle w:val="FreeForm"/>
                      <w:rPr>
                        <w:rFonts w:asciiTheme="majorHAnsi" w:hAnsiTheme="majorHAnsi"/>
                        <w:color w:val="91003D"/>
                        <w:sz w:val="16"/>
                        <w:szCs w:val="16"/>
                      </w:rPr>
                    </w:pPr>
                  </w:p>
                  <w:p w:rsidR="00A629A8" w:rsidRPr="00441244" w:rsidRDefault="00A629A8" w:rsidP="00A629A8">
                    <w:pPr>
                      <w:pStyle w:val="FreeForm"/>
                    </w:pPr>
                    <w:r w:rsidRPr="00441244">
                      <w:rPr>
                        <w:color w:val="91003D"/>
                      </w:rPr>
                      <w:t xml:space="preserve">Study Group Module: </w:t>
                    </w:r>
                    <w:r>
                      <w:rPr>
                        <w:rFonts w:eastAsia="Helvetica Neue" w:cs="Helvetica Neue"/>
                        <w:color w:val="941100"/>
                      </w:rPr>
                      <w:t>Pharmacology</w:t>
                    </w:r>
                  </w:p>
                  <w:p w:rsidR="00A629A8" w:rsidRDefault="00A629A8" w:rsidP="00A629A8">
                    <w:pPr>
                      <w:jc w:val="center"/>
                    </w:pPr>
                  </w:p>
                </w:txbxContent>
              </v:textbox>
              <w10:wrap type="through" anchorx="page" anchory="page"/>
            </v:rect>
          </w:pict>
        </mc:Fallback>
      </mc:AlternateContent>
    </w:r>
    <w:r w:rsidR="0005335E"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5E" w:rsidRPr="000039C7" w:rsidRDefault="0005335E" w:rsidP="0005335E">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05335E" w:rsidRDefault="0005335E" w:rsidP="0005335E">
    <w:pPr>
      <w:pStyle w:val="Footer"/>
      <w:jc w:val="cente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C1" w:rsidRDefault="009969C1" w:rsidP="0005335E">
      <w:pPr>
        <w:spacing w:line="240" w:lineRule="auto"/>
      </w:pPr>
      <w:r>
        <w:separator/>
      </w:r>
    </w:p>
  </w:footnote>
  <w:footnote w:type="continuationSeparator" w:id="0">
    <w:p w:rsidR="009969C1" w:rsidRDefault="009969C1" w:rsidP="00053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5E" w:rsidRDefault="0005335E">
    <w:pPr>
      <w:pStyle w:val="Header"/>
    </w:pPr>
    <w:r>
      <w:rPr>
        <w:noProof/>
      </w:rPr>
      <mc:AlternateContent>
        <mc:Choice Requires="wps">
          <w:drawing>
            <wp:anchor distT="152400" distB="152400" distL="152400" distR="152400" simplePos="0" relativeHeight="251659264" behindDoc="0" locked="0" layoutInCell="1" allowOverlap="1" wp14:anchorId="385B3A43" wp14:editId="1ED6F655">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05335E" w:rsidRDefault="0005335E" w:rsidP="0005335E">
                          <w:pPr>
                            <w:pStyle w:val="FreeForm"/>
                            <w:jc w:val="center"/>
                            <w:rPr>
                              <w:color w:val="91003D"/>
                              <w:sz w:val="56"/>
                              <w:szCs w:val="56"/>
                            </w:rPr>
                          </w:pPr>
                        </w:p>
                        <w:p w:rsidR="0005335E" w:rsidRPr="004F3780" w:rsidRDefault="0005335E" w:rsidP="0005335E">
                          <w:pPr>
                            <w:pStyle w:val="FreeForm"/>
                            <w:jc w:val="center"/>
                            <w:rPr>
                              <w:b/>
                              <w:bCs/>
                              <w:color w:val="91003D"/>
                              <w:sz w:val="56"/>
                              <w:szCs w:val="56"/>
                            </w:rPr>
                          </w:pPr>
                          <w:r>
                            <w:rPr>
                              <w:color w:val="91003D"/>
                              <w:sz w:val="56"/>
                              <w:szCs w:val="56"/>
                            </w:rPr>
                            <w:t>Pharmacology for Midwives</w:t>
                          </w:r>
                        </w:p>
                        <w:p w:rsidR="0005335E" w:rsidRDefault="0005335E" w:rsidP="0005335E">
                          <w:pPr>
                            <w:pStyle w:val="FreeForm"/>
                            <w:ind w:firstLine="720"/>
                            <w:rPr>
                              <w:rFonts w:asciiTheme="majorHAnsi" w:hAnsiTheme="majorHAnsi"/>
                              <w:color w:val="91003D"/>
                              <w:sz w:val="36"/>
                              <w:szCs w:val="36"/>
                            </w:rPr>
                          </w:pPr>
                        </w:p>
                        <w:p w:rsidR="0005335E" w:rsidRPr="00441244" w:rsidRDefault="0005335E" w:rsidP="0005335E">
                          <w:pPr>
                            <w:pStyle w:val="FreeForm"/>
                            <w:ind w:firstLine="720"/>
                            <w:rPr>
                              <w:b/>
                              <w:bCs/>
                              <w:color w:val="91003D"/>
                              <w:sz w:val="32"/>
                              <w:szCs w:val="32"/>
                            </w:rPr>
                          </w:pPr>
                          <w:r w:rsidRPr="00441244">
                            <w:rPr>
                              <w:rFonts w:asciiTheme="majorHAnsi" w:hAnsiTheme="majorHAnsi"/>
                              <w:color w:val="91003D"/>
                              <w:sz w:val="32"/>
                              <w:szCs w:val="32"/>
                            </w:rPr>
                            <w:t>Study Group Module</w:t>
                          </w:r>
                        </w:p>
                        <w:p w:rsidR="0005335E" w:rsidRDefault="0005335E" w:rsidP="0005335E">
                          <w:pPr>
                            <w:jc w:val="center"/>
                          </w:pPr>
                        </w:p>
                      </w:txbxContent>
                    </wps:txbx>
                    <wps:bodyPr/>
                  </wps:wsp>
                </a:graphicData>
              </a:graphic>
            </wp:anchor>
          </w:drawing>
        </mc:Choice>
        <mc:Fallback>
          <w:pict>
            <v:rect w14:anchorId="385B3A43"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05335E" w:rsidRDefault="0005335E" w:rsidP="0005335E">
                    <w:pPr>
                      <w:pStyle w:val="FreeForm"/>
                      <w:jc w:val="center"/>
                      <w:rPr>
                        <w:color w:val="91003D"/>
                        <w:sz w:val="56"/>
                        <w:szCs w:val="56"/>
                      </w:rPr>
                    </w:pPr>
                  </w:p>
                  <w:p w:rsidR="0005335E" w:rsidRPr="004F3780" w:rsidRDefault="0005335E" w:rsidP="0005335E">
                    <w:pPr>
                      <w:pStyle w:val="FreeForm"/>
                      <w:jc w:val="center"/>
                      <w:rPr>
                        <w:b/>
                        <w:bCs/>
                        <w:color w:val="91003D"/>
                        <w:sz w:val="56"/>
                        <w:szCs w:val="56"/>
                      </w:rPr>
                    </w:pPr>
                    <w:r>
                      <w:rPr>
                        <w:color w:val="91003D"/>
                        <w:sz w:val="56"/>
                        <w:szCs w:val="56"/>
                      </w:rPr>
                      <w:t>Pharmacology for Midwives</w:t>
                    </w:r>
                  </w:p>
                  <w:p w:rsidR="0005335E" w:rsidRDefault="0005335E" w:rsidP="0005335E">
                    <w:pPr>
                      <w:pStyle w:val="FreeForm"/>
                      <w:ind w:firstLine="720"/>
                      <w:rPr>
                        <w:rFonts w:asciiTheme="majorHAnsi" w:hAnsiTheme="majorHAnsi"/>
                        <w:color w:val="91003D"/>
                        <w:sz w:val="36"/>
                        <w:szCs w:val="36"/>
                      </w:rPr>
                    </w:pPr>
                  </w:p>
                  <w:p w:rsidR="0005335E" w:rsidRPr="00441244" w:rsidRDefault="0005335E" w:rsidP="0005335E">
                    <w:pPr>
                      <w:pStyle w:val="FreeForm"/>
                      <w:ind w:firstLine="720"/>
                      <w:rPr>
                        <w:b/>
                        <w:bCs/>
                        <w:color w:val="91003D"/>
                        <w:sz w:val="32"/>
                        <w:szCs w:val="32"/>
                      </w:rPr>
                    </w:pPr>
                    <w:r w:rsidRPr="00441244">
                      <w:rPr>
                        <w:rFonts w:asciiTheme="majorHAnsi" w:hAnsiTheme="majorHAnsi"/>
                        <w:color w:val="91003D"/>
                        <w:sz w:val="32"/>
                        <w:szCs w:val="32"/>
                      </w:rPr>
                      <w:t>Study Group Module</w:t>
                    </w:r>
                  </w:p>
                  <w:p w:rsidR="0005335E" w:rsidRDefault="0005335E" w:rsidP="0005335E">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210"/>
    <w:multiLevelType w:val="multilevel"/>
    <w:tmpl w:val="003AE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B14A68"/>
    <w:multiLevelType w:val="multilevel"/>
    <w:tmpl w:val="55446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F716A3"/>
    <w:multiLevelType w:val="multilevel"/>
    <w:tmpl w:val="1CB833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F961CF7"/>
    <w:multiLevelType w:val="multilevel"/>
    <w:tmpl w:val="B18E4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48609A7"/>
    <w:multiLevelType w:val="multilevel"/>
    <w:tmpl w:val="F4224F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C941EC7"/>
    <w:multiLevelType w:val="multilevel"/>
    <w:tmpl w:val="FB8E37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AFE0702"/>
    <w:multiLevelType w:val="multilevel"/>
    <w:tmpl w:val="03ECCB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3FC7853"/>
    <w:multiLevelType w:val="multilevel"/>
    <w:tmpl w:val="A134E6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C6000D8"/>
    <w:multiLevelType w:val="multilevel"/>
    <w:tmpl w:val="142A1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94382A"/>
    <w:multiLevelType w:val="multilevel"/>
    <w:tmpl w:val="D6D08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471D61"/>
    <w:multiLevelType w:val="multilevel"/>
    <w:tmpl w:val="8EE09E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66C44D6"/>
    <w:multiLevelType w:val="multilevel"/>
    <w:tmpl w:val="ECF4FE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DC5103B"/>
    <w:multiLevelType w:val="multilevel"/>
    <w:tmpl w:val="BFA24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942F4F"/>
    <w:multiLevelType w:val="multilevel"/>
    <w:tmpl w:val="356E0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940E3F"/>
    <w:multiLevelType w:val="multilevel"/>
    <w:tmpl w:val="9000F3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A2B1FF5"/>
    <w:multiLevelType w:val="multilevel"/>
    <w:tmpl w:val="59BC0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FD4932"/>
    <w:multiLevelType w:val="multilevel"/>
    <w:tmpl w:val="A7FE3F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D366201"/>
    <w:multiLevelType w:val="multilevel"/>
    <w:tmpl w:val="29B67E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FAA623E"/>
    <w:multiLevelType w:val="multilevel"/>
    <w:tmpl w:val="66A08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5"/>
  </w:num>
  <w:num w:numId="3">
    <w:abstractNumId w:val="17"/>
  </w:num>
  <w:num w:numId="4">
    <w:abstractNumId w:val="8"/>
  </w:num>
  <w:num w:numId="5">
    <w:abstractNumId w:val="12"/>
  </w:num>
  <w:num w:numId="6">
    <w:abstractNumId w:val="4"/>
  </w:num>
  <w:num w:numId="7">
    <w:abstractNumId w:val="13"/>
  </w:num>
  <w:num w:numId="8">
    <w:abstractNumId w:val="7"/>
  </w:num>
  <w:num w:numId="9">
    <w:abstractNumId w:val="1"/>
  </w:num>
  <w:num w:numId="10">
    <w:abstractNumId w:val="0"/>
  </w:num>
  <w:num w:numId="11">
    <w:abstractNumId w:val="16"/>
  </w:num>
  <w:num w:numId="12">
    <w:abstractNumId w:val="3"/>
  </w:num>
  <w:num w:numId="13">
    <w:abstractNumId w:val="9"/>
  </w:num>
  <w:num w:numId="14">
    <w:abstractNumId w:val="2"/>
  </w:num>
  <w:num w:numId="15">
    <w:abstractNumId w:val="11"/>
  </w:num>
  <w:num w:numId="16">
    <w:abstractNumId w:val="15"/>
  </w:num>
  <w:num w:numId="17">
    <w:abstractNumId w:val="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20A1"/>
    <w:rsid w:val="0005335E"/>
    <w:rsid w:val="00680BDC"/>
    <w:rsid w:val="009969C1"/>
    <w:rsid w:val="00A629A8"/>
    <w:rsid w:val="00B85638"/>
    <w:rsid w:val="00BD0176"/>
    <w:rsid w:val="00E620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90F8C"/>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FreeForm">
    <w:name w:val="Free Form"/>
    <w:rsid w:val="0005335E"/>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 w:type="paragraph" w:styleId="Header">
    <w:name w:val="header"/>
    <w:basedOn w:val="Normal"/>
    <w:link w:val="HeaderChar"/>
    <w:uiPriority w:val="99"/>
    <w:unhideWhenUsed/>
    <w:rsid w:val="0005335E"/>
    <w:pPr>
      <w:tabs>
        <w:tab w:val="center" w:pos="4680"/>
        <w:tab w:val="right" w:pos="9360"/>
      </w:tabs>
      <w:spacing w:line="240" w:lineRule="auto"/>
    </w:pPr>
  </w:style>
  <w:style w:type="character" w:customStyle="1" w:styleId="HeaderChar">
    <w:name w:val="Header Char"/>
    <w:basedOn w:val="DefaultParagraphFont"/>
    <w:link w:val="Header"/>
    <w:uiPriority w:val="99"/>
    <w:rsid w:val="0005335E"/>
  </w:style>
  <w:style w:type="paragraph" w:styleId="Footer">
    <w:name w:val="footer"/>
    <w:basedOn w:val="Normal"/>
    <w:link w:val="FooterChar"/>
    <w:uiPriority w:val="99"/>
    <w:unhideWhenUsed/>
    <w:rsid w:val="0005335E"/>
    <w:pPr>
      <w:tabs>
        <w:tab w:val="center" w:pos="4680"/>
        <w:tab w:val="right" w:pos="9360"/>
      </w:tabs>
      <w:spacing w:line="240" w:lineRule="auto"/>
    </w:pPr>
  </w:style>
  <w:style w:type="character" w:customStyle="1" w:styleId="FooterChar">
    <w:name w:val="Footer Char"/>
    <w:basedOn w:val="DefaultParagraphFont"/>
    <w:link w:val="Footer"/>
    <w:uiPriority w:val="99"/>
    <w:rsid w:val="0005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3477</Words>
  <Characters>19823</Characters>
  <Application>Microsoft Office Word</Application>
  <DocSecurity>0</DocSecurity>
  <Lines>165</Lines>
  <Paragraphs>46</Paragraphs>
  <ScaleCrop>false</ScaleCrop>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6</cp:revision>
  <dcterms:created xsi:type="dcterms:W3CDTF">2018-10-15T20:52:00Z</dcterms:created>
  <dcterms:modified xsi:type="dcterms:W3CDTF">2018-10-15T20:57:00Z</dcterms:modified>
</cp:coreProperties>
</file>