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9C4" w:rsidRDefault="009E41F4">
      <w:pPr>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 xml:space="preserve">Twins </w:t>
      </w:r>
      <w:r w:rsidR="005E7AE9">
        <w:rPr>
          <w:rFonts w:ascii="Helvetica Neue" w:eastAsia="Helvetica Neue" w:hAnsi="Helvetica Neue" w:cs="Helvetica Neue"/>
          <w:b/>
          <w:sz w:val="36"/>
          <w:szCs w:val="36"/>
        </w:rPr>
        <w:t>&amp;</w:t>
      </w:r>
      <w:r>
        <w:rPr>
          <w:rFonts w:ascii="Helvetica Neue" w:eastAsia="Helvetica Neue" w:hAnsi="Helvetica Neue" w:cs="Helvetica Neue"/>
          <w:b/>
          <w:sz w:val="36"/>
          <w:szCs w:val="36"/>
        </w:rPr>
        <w:t xml:space="preserve"> Multiples</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169C4" w:rsidRDefault="009E41F4">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0169C4" w:rsidRDefault="000169C4">
      <w:pPr>
        <w:spacing w:line="240" w:lineRule="auto"/>
        <w:contextualSpacing w:val="0"/>
        <w:rPr>
          <w:rFonts w:ascii="Helvetica Neue" w:eastAsia="Helvetica Neue" w:hAnsi="Helvetica Neue" w:cs="Helvetica Neue"/>
          <w:b/>
          <w:sz w:val="24"/>
          <w:szCs w:val="24"/>
        </w:rPr>
      </w:pPr>
    </w:p>
    <w:p w:rsidR="000169C4" w:rsidRDefault="000169C4">
      <w:pPr>
        <w:contextualSpacing w:val="0"/>
        <w:rPr>
          <w:sz w:val="28"/>
          <w:szCs w:val="28"/>
          <w:u w:val="single"/>
        </w:rPr>
      </w:pPr>
    </w:p>
    <w:p w:rsidR="000169C4" w:rsidRDefault="009E41F4">
      <w:pPr>
        <w:contextualSpacing w:val="0"/>
        <w:rPr>
          <w:sz w:val="24"/>
          <w:szCs w:val="24"/>
          <w:u w:val="single"/>
        </w:rPr>
      </w:pPr>
      <w:r>
        <w:rPr>
          <w:sz w:val="24"/>
          <w:szCs w:val="24"/>
          <w:u w:val="single"/>
        </w:rPr>
        <w:t>Description:</w:t>
      </w:r>
    </w:p>
    <w:p w:rsidR="000169C4" w:rsidRDefault="009E41F4">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5E7AE9">
        <w:rPr>
          <w:rFonts w:ascii="Helvetica Neue" w:eastAsia="Helvetica Neue" w:hAnsi="Helvetica Neue" w:cs="Helvetica Neue"/>
          <w:sz w:val="24"/>
          <w:szCs w:val="24"/>
        </w:rPr>
        <w:t xml:space="preserve">s twins and multiples in midwifery care.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0169C4" w:rsidRDefault="000169C4">
      <w:pPr>
        <w:contextualSpacing w:val="0"/>
        <w:rPr>
          <w:sz w:val="28"/>
          <w:szCs w:val="28"/>
          <w:u w:val="single"/>
        </w:rPr>
      </w:pPr>
    </w:p>
    <w:p w:rsidR="000169C4" w:rsidRDefault="009E41F4">
      <w:pPr>
        <w:contextualSpacing w:val="0"/>
        <w:rPr>
          <w:sz w:val="24"/>
          <w:szCs w:val="24"/>
          <w:u w:val="single"/>
        </w:rPr>
      </w:pPr>
      <w:r>
        <w:rPr>
          <w:sz w:val="24"/>
          <w:szCs w:val="24"/>
          <w:u w:val="single"/>
        </w:rPr>
        <w:t>Learning Objectives:</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Review embryology and fetal development as it pertains to twins and multiples</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Understand the unique needs of twins and multiples in pregnancy.</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role of ultrasound to confirm suspected twins or multiples.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the cultural phenomenon of increased multiple pregnancy.</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support measures for bringing twin pregnancies to term.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concepts of informed consent.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Understand twins to be a variation of normal birth.</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the risks of twins birth.’</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specific guidelines for attending twin and multiples births.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local doctors who are willing to attend twin and multiples births.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doctors who are willing to consult with community midwives on twins and multiples.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community standard among midwives regarding twin and multiples births. </w:t>
      </w:r>
    </w:p>
    <w:p w:rsidR="000169C4" w:rsidRDefault="009E41F4">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management of a surprise twin birth.</w:t>
      </w:r>
    </w:p>
    <w:p w:rsidR="000169C4" w:rsidRDefault="000169C4">
      <w:pPr>
        <w:spacing w:line="240" w:lineRule="auto"/>
        <w:ind w:left="720"/>
        <w:contextualSpacing w:val="0"/>
        <w:rPr>
          <w:rFonts w:ascii="Helvetica Neue" w:eastAsia="Helvetica Neue" w:hAnsi="Helvetica Neue" w:cs="Helvetica Neue"/>
          <w:sz w:val="24"/>
          <w:szCs w:val="24"/>
        </w:rPr>
      </w:pPr>
    </w:p>
    <w:p w:rsidR="000169C4" w:rsidRDefault="009E41F4">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0169C4" w:rsidRDefault="009E41F4">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taking care of twin and multiple pregnancies</w:t>
      </w:r>
    </w:p>
    <w:p w:rsidR="000169C4" w:rsidRDefault="009E41F4">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twin and multiple births in your own practice</w:t>
      </w:r>
    </w:p>
    <w:p w:rsidR="000169C4" w:rsidRDefault="009E41F4">
      <w:pPr>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Submit a reflection paper on practicing delivering twins </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Submit work to Study Group Course Coordinator</w:t>
      </w:r>
    </w:p>
    <w:p w:rsidR="000169C4" w:rsidRDefault="009E41F4">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0169C4" w:rsidRDefault="000169C4">
      <w:pPr>
        <w:spacing w:line="240" w:lineRule="auto"/>
        <w:ind w:left="720"/>
        <w:contextualSpacing w:val="0"/>
        <w:rPr>
          <w:rFonts w:ascii="Helvetica Neue" w:eastAsia="Helvetica Neue" w:hAnsi="Helvetica Neue" w:cs="Helvetica Neue"/>
          <w:sz w:val="24"/>
          <w:szCs w:val="24"/>
        </w:rPr>
      </w:pPr>
    </w:p>
    <w:p w:rsidR="000169C4" w:rsidRDefault="009E41F4">
      <w:pPr>
        <w:contextualSpacing w:val="0"/>
        <w:rPr>
          <w:sz w:val="24"/>
          <w:szCs w:val="24"/>
          <w:u w:val="single"/>
        </w:rPr>
      </w:pPr>
      <w:r>
        <w:rPr>
          <w:sz w:val="24"/>
          <w:szCs w:val="24"/>
          <w:u w:val="single"/>
        </w:rPr>
        <w:t>Study Sources (print):</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II, Frye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Myles Textbook for Midwives</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Labor and Birth, </w:t>
      </w:r>
      <w:proofErr w:type="spellStart"/>
      <w:r>
        <w:rPr>
          <w:rFonts w:ascii="Helvetica Neue" w:eastAsia="Helvetica Neue" w:hAnsi="Helvetica Neue" w:cs="Helvetica Neue"/>
          <w:sz w:val="24"/>
          <w:szCs w:val="24"/>
        </w:rPr>
        <w:t>Oxorne</w:t>
      </w:r>
      <w:proofErr w:type="spellEnd"/>
      <w:r>
        <w:rPr>
          <w:rFonts w:ascii="Helvetica Neue" w:eastAsia="Helvetica Neue" w:hAnsi="Helvetica Neue" w:cs="Helvetica Neue"/>
          <w:sz w:val="24"/>
          <w:szCs w:val="24"/>
        </w:rPr>
        <w:t xml:space="preserve"> and Foote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bookmarkStart w:id="0" w:name="_GoBack"/>
      <w:bookmarkEnd w:id="0"/>
      <w:r>
        <w:rPr>
          <w:rFonts w:ascii="Helvetica Neue" w:eastAsia="Helvetica Neue" w:hAnsi="Helvetica Neue" w:cs="Helvetica Neue"/>
          <w:sz w:val="24"/>
          <w:szCs w:val="24"/>
        </w:rPr>
        <w:t>Birth Emergency Skills Training, Gruenberg</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Optional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Midwifery Management of Twin Gestations: An Evidence-Based Approach by B. Maria Cranford</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Natural Pregnancy Book, </w:t>
      </w:r>
      <w:proofErr w:type="spellStart"/>
      <w:r>
        <w:rPr>
          <w:rFonts w:ascii="Helvetica Neue" w:eastAsia="Helvetica Neue" w:hAnsi="Helvetica Neue" w:cs="Helvetica Neue"/>
          <w:sz w:val="24"/>
          <w:szCs w:val="24"/>
        </w:rPr>
        <w:t>Romm</w:t>
      </w:r>
      <w:proofErr w:type="spellEnd"/>
      <w:r>
        <w:rPr>
          <w:rFonts w:ascii="Helvetica Neue" w:eastAsia="Helvetica Neue" w:hAnsi="Helvetica Neue" w:cs="Helvetica Neue"/>
          <w:sz w:val="24"/>
          <w:szCs w:val="24"/>
        </w:rPr>
        <w:t xml:space="preserve">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Homeopathic Medicines for Pregnancy and Childbirth, Moskowitz </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Mothering Multiples, La </w:t>
      </w:r>
      <w:proofErr w:type="spellStart"/>
      <w:r>
        <w:rPr>
          <w:rFonts w:ascii="Helvetica Neue" w:eastAsia="Helvetica Neue" w:hAnsi="Helvetica Neue" w:cs="Helvetica Neue"/>
          <w:sz w:val="24"/>
          <w:szCs w:val="24"/>
        </w:rPr>
        <w:t>Leche</w:t>
      </w:r>
      <w:proofErr w:type="spellEnd"/>
      <w:r>
        <w:rPr>
          <w:rFonts w:ascii="Helvetica Neue" w:eastAsia="Helvetica Neue" w:hAnsi="Helvetica Neue" w:cs="Helvetica Neue"/>
          <w:sz w:val="24"/>
          <w:szCs w:val="24"/>
        </w:rPr>
        <w:t xml:space="preserve"> League</w:t>
      </w:r>
    </w:p>
    <w:p w:rsidR="000169C4" w:rsidRDefault="009E41F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Twins, Midwifery Today </w:t>
      </w:r>
      <w:proofErr w:type="spellStart"/>
      <w:r>
        <w:rPr>
          <w:rFonts w:ascii="Helvetica Neue" w:eastAsia="Helvetica Neue" w:hAnsi="Helvetica Neue" w:cs="Helvetica Neue"/>
          <w:sz w:val="24"/>
          <w:szCs w:val="24"/>
        </w:rPr>
        <w:t>Ebook</w:t>
      </w:r>
      <w:proofErr w:type="spellEnd"/>
    </w:p>
    <w:p w:rsidR="000169C4" w:rsidRDefault="000169C4">
      <w:pPr>
        <w:spacing w:line="240" w:lineRule="auto"/>
        <w:contextualSpacing w:val="0"/>
        <w:rPr>
          <w:rFonts w:ascii="Helvetica Neue" w:eastAsia="Helvetica Neue" w:hAnsi="Helvetica Neue" w:cs="Helvetica Neue"/>
          <w:sz w:val="24"/>
          <w:szCs w:val="24"/>
        </w:rPr>
      </w:pPr>
    </w:p>
    <w:p w:rsidR="000169C4" w:rsidRDefault="009E41F4">
      <w:pPr>
        <w:contextualSpacing w:val="0"/>
        <w:rPr>
          <w:rFonts w:ascii="Helvetica Neue" w:eastAsia="Helvetica Neue" w:hAnsi="Helvetica Neue" w:cs="Helvetica Neue"/>
          <w:sz w:val="24"/>
          <w:szCs w:val="24"/>
          <w:u w:val="single"/>
        </w:rPr>
      </w:pPr>
      <w:r>
        <w:rPr>
          <w:sz w:val="24"/>
          <w:szCs w:val="24"/>
          <w:u w:val="single"/>
        </w:rPr>
        <w:t>Study Sources (online):</w:t>
      </w:r>
    </w:p>
    <w:p w:rsidR="000169C4" w:rsidRDefault="009E41F4">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Twins and Multiples</w:t>
      </w:r>
      <w:r>
        <w:rPr>
          <w:rFonts w:ascii="Helvetica Neue" w:eastAsia="Helvetica Neue" w:hAnsi="Helvetica Neue" w:cs="Helvetica Neue"/>
          <w:color w:val="1A1A1A"/>
          <w:sz w:val="24"/>
          <w:szCs w:val="24"/>
        </w:rPr>
        <w:t xml:space="preserve"> module web resources section for current online study sources for this module.</w:t>
      </w:r>
    </w:p>
    <w:p w:rsidR="000169C4" w:rsidRDefault="009E41F4">
      <w:pPr>
        <w:contextualSpacing w:val="0"/>
        <w:rPr>
          <w:sz w:val="24"/>
          <w:szCs w:val="24"/>
          <w:u w:val="single"/>
        </w:rPr>
      </w:pPr>
      <w:r>
        <w:rPr>
          <w:sz w:val="24"/>
          <w:szCs w:val="24"/>
          <w:u w:val="single"/>
        </w:rPr>
        <w:t>Related Modules:</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Birth Bag and Setup</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Breastfeeding/</w:t>
      </w:r>
      <w:proofErr w:type="spellStart"/>
      <w:r>
        <w:rPr>
          <w:rFonts w:ascii="Helvetica Neue" w:eastAsia="Helvetica Neue" w:hAnsi="Helvetica Neue" w:cs="Helvetica Neue"/>
          <w:sz w:val="24"/>
          <w:szCs w:val="24"/>
        </w:rPr>
        <w:t>Chestfeeding</w:t>
      </w:r>
      <w:proofErr w:type="spellEnd"/>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Cesarean and VBAC</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Charting and Practice Guidelines</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Embryology and Fetal Development</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Fetal Heart Rate Patterns</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Fetal/Newborn Circulation</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First Stage of Labor</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Breech Birth</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Holistic and Traditional Health and Healing</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Apnea/Hypoxia/Respiratory Distress</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Newborn</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Clinical Assessments</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Second Stage of Labor</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Third Stage of Labor</w:t>
      </w:r>
    </w:p>
    <w:p w:rsidR="000169C4" w:rsidRDefault="009E41F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Transporting</w:t>
      </w:r>
    </w:p>
    <w:p w:rsidR="000169C4" w:rsidRDefault="000169C4">
      <w:pPr>
        <w:spacing w:line="240" w:lineRule="auto"/>
        <w:contextualSpacing w:val="0"/>
        <w:rPr>
          <w:rFonts w:ascii="Helvetica Neue" w:eastAsia="Helvetica Neue" w:hAnsi="Helvetica Neue" w:cs="Helvetica Neue"/>
          <w:i/>
          <w:sz w:val="24"/>
          <w:szCs w:val="24"/>
        </w:rPr>
      </w:pPr>
    </w:p>
    <w:p w:rsidR="000169C4" w:rsidRDefault="009E41F4">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0169C4" w:rsidRDefault="000169C4">
      <w:pPr>
        <w:spacing w:line="240" w:lineRule="auto"/>
        <w:contextualSpacing w:val="0"/>
        <w:rPr>
          <w:rFonts w:ascii="Helvetica Neue" w:eastAsia="Helvetica Neue" w:hAnsi="Helvetica Neue" w:cs="Helvetica Neue"/>
          <w:sz w:val="24"/>
          <w:szCs w:val="24"/>
        </w:rPr>
      </w:pP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0169C4" w:rsidRDefault="000169C4">
      <w:pPr>
        <w:spacing w:line="240" w:lineRule="auto"/>
        <w:contextualSpacing w:val="0"/>
        <w:rPr>
          <w:rFonts w:ascii="Helvetica Neue" w:eastAsia="Helvetica Neue" w:hAnsi="Helvetica Neue" w:cs="Helvetica Neue"/>
          <w:sz w:val="24"/>
          <w:szCs w:val="24"/>
        </w:rPr>
      </w:pP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0169C4" w:rsidRDefault="000169C4">
      <w:pPr>
        <w:spacing w:line="240" w:lineRule="auto"/>
        <w:contextualSpacing w:val="0"/>
        <w:rPr>
          <w:rFonts w:ascii="Helvetica Neue" w:eastAsia="Helvetica Neue" w:hAnsi="Helvetica Neue" w:cs="Helvetica Neue"/>
          <w:sz w:val="24"/>
          <w:szCs w:val="24"/>
          <w:u w:val="single"/>
        </w:rPr>
      </w:pP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0169C4" w:rsidRDefault="009E41F4">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0169C4" w:rsidRDefault="000169C4">
      <w:pPr>
        <w:spacing w:line="240" w:lineRule="auto"/>
        <w:contextualSpacing w:val="0"/>
        <w:rPr>
          <w:rFonts w:ascii="Helvetica Neue" w:eastAsia="Helvetica Neue" w:hAnsi="Helvetica Neue" w:cs="Helvetica Neue"/>
          <w:sz w:val="24"/>
          <w:szCs w:val="24"/>
          <w:u w:val="single"/>
        </w:rPr>
      </w:pPr>
    </w:p>
    <w:p w:rsidR="000169C4" w:rsidRDefault="009E41F4">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0169C4" w:rsidRDefault="009E41F4">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0169C4" w:rsidRDefault="000169C4">
      <w:pPr>
        <w:spacing w:line="240" w:lineRule="auto"/>
        <w:contextualSpacing w:val="0"/>
        <w:rPr>
          <w:rFonts w:ascii="Helvetica Neue" w:eastAsia="Helvetica Neue" w:hAnsi="Helvetica Neue" w:cs="Helvetica Neue"/>
          <w:b/>
          <w:sz w:val="24"/>
          <w:szCs w:val="24"/>
        </w:rPr>
      </w:pPr>
    </w:p>
    <w:p w:rsidR="000169C4" w:rsidRDefault="000169C4">
      <w:pPr>
        <w:spacing w:line="240" w:lineRule="auto"/>
        <w:contextualSpacing w:val="0"/>
        <w:rPr>
          <w:rFonts w:ascii="Helvetica Neue" w:eastAsia="Helvetica Neue" w:hAnsi="Helvetica Neue" w:cs="Helvetica Neue"/>
          <w:b/>
          <w:sz w:val="24"/>
          <w:szCs w:val="24"/>
        </w:rPr>
      </w:pPr>
    </w:p>
    <w:p w:rsidR="000169C4" w:rsidRDefault="000169C4">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1C0185" w:rsidRPr="000039C7" w:rsidTr="001C0185">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1C0185" w:rsidRPr="000039C7" w:rsidRDefault="001C0185"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C0185" w:rsidRPr="000039C7" w:rsidRDefault="001C0185"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1C0185" w:rsidRPr="000039C7" w:rsidRDefault="001C0185"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1C0185" w:rsidRPr="000039C7" w:rsidRDefault="001C0185"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 xml:space="preserve">Level 2 </w:t>
            </w:r>
          </w:p>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 xml:space="preserve">Level 3 </w:t>
            </w:r>
          </w:p>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 xml:space="preserve">Level 3 </w:t>
            </w:r>
          </w:p>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color w:val="FEFFFF"/>
                <w:sz w:val="20"/>
                <w:szCs w:val="20"/>
                <w:shd w:val="clear" w:color="auto" w:fill="91003D"/>
              </w:rPr>
              <w:t>Student Score</w:t>
            </w:r>
          </w:p>
        </w:tc>
      </w:tr>
      <w:tr w:rsidR="001C0185" w:rsidRPr="000039C7" w:rsidTr="001C0185">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1C0185" w:rsidRPr="000039C7" w:rsidRDefault="001C0185" w:rsidP="006655A1">
            <w:pPr>
              <w:rPr>
                <w:sz w:val="20"/>
                <w:szCs w:val="20"/>
              </w:rPr>
            </w:pPr>
          </w:p>
        </w:tc>
      </w:tr>
      <w:tr w:rsidR="001C0185" w:rsidRPr="000039C7" w:rsidTr="001C0185">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1C0185" w:rsidRPr="000039C7" w:rsidRDefault="001C0185" w:rsidP="006655A1">
            <w:pPr>
              <w:rPr>
                <w:sz w:val="20"/>
                <w:szCs w:val="20"/>
              </w:rPr>
            </w:pPr>
          </w:p>
        </w:tc>
      </w:tr>
      <w:tr w:rsidR="001C0185" w:rsidRPr="000039C7" w:rsidTr="001C0185">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1C0185" w:rsidRPr="000039C7" w:rsidRDefault="001C0185"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1C0185" w:rsidRPr="000039C7" w:rsidRDefault="001C0185"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1C0185" w:rsidRPr="000039C7" w:rsidRDefault="001C0185"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1C0185" w:rsidRPr="000039C7" w:rsidRDefault="001C0185"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1C0185" w:rsidRPr="000039C7" w:rsidRDefault="001C0185" w:rsidP="006655A1">
            <w:pPr>
              <w:rPr>
                <w:sz w:val="20"/>
                <w:szCs w:val="20"/>
              </w:rPr>
            </w:pPr>
          </w:p>
        </w:tc>
      </w:tr>
      <w:tr w:rsidR="001C0185" w:rsidRPr="000039C7" w:rsidTr="001C0185">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1C0185" w:rsidRPr="000039C7" w:rsidRDefault="001C0185"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1C0185" w:rsidRPr="000039C7" w:rsidRDefault="001C0185" w:rsidP="006655A1">
            <w:pPr>
              <w:rPr>
                <w:sz w:val="20"/>
                <w:szCs w:val="20"/>
              </w:rPr>
            </w:pPr>
          </w:p>
        </w:tc>
      </w:tr>
      <w:tr w:rsidR="001C0185" w:rsidRPr="000039C7" w:rsidTr="001C0185">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C0185" w:rsidRPr="000039C7" w:rsidRDefault="001C0185" w:rsidP="006655A1">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C0185" w:rsidRPr="000039C7" w:rsidRDefault="001C0185"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1C0185" w:rsidRPr="000039C7" w:rsidRDefault="001C0185" w:rsidP="006655A1">
            <w:pPr>
              <w:rPr>
                <w:sz w:val="20"/>
                <w:szCs w:val="20"/>
              </w:rPr>
            </w:pPr>
          </w:p>
        </w:tc>
      </w:tr>
    </w:tbl>
    <w:p w:rsidR="000169C4" w:rsidRDefault="000169C4">
      <w:pPr>
        <w:spacing w:line="240" w:lineRule="auto"/>
        <w:contextualSpacing w:val="0"/>
        <w:rPr>
          <w:rFonts w:ascii="Helvetica Neue" w:eastAsia="Helvetica Neue" w:hAnsi="Helvetica Neue" w:cs="Helvetica Neue"/>
          <w:b/>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9E41F4">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shd w:val="clear" w:color="auto" w:fill="D9EAD3"/>
        </w:rPr>
        <w:t>Specific to each module</w:t>
      </w: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jc w:val="center"/>
        <w:rPr>
          <w:rFonts w:ascii="Helvetica Neue" w:eastAsia="Helvetica Neue" w:hAnsi="Helvetica Neue" w:cs="Helvetica Neue"/>
          <w:sz w:val="24"/>
          <w:szCs w:val="24"/>
          <w:u w:val="single"/>
        </w:rPr>
      </w:pPr>
    </w:p>
    <w:p w:rsidR="000169C4" w:rsidRDefault="009E41F4">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Introductory and Further Thoughts:</w:t>
      </w:r>
    </w:p>
    <w:p w:rsidR="000169C4" w:rsidRDefault="009E41F4">
      <w:pPr>
        <w:spacing w:line="240" w:lineRule="auto"/>
        <w:contextualSpacing w:val="0"/>
        <w:rPr>
          <w:rFonts w:ascii="Helvetica Neue" w:eastAsia="Helvetica Neue" w:hAnsi="Helvetica Neue" w:cs="Helvetica Neue"/>
          <w:i/>
          <w:sz w:val="24"/>
          <w:szCs w:val="24"/>
          <w:shd w:val="clear" w:color="auto" w:fill="D9EAD3"/>
        </w:rPr>
      </w:pPr>
      <w:r>
        <w:rPr>
          <w:rFonts w:ascii="Helvetica Neue" w:eastAsia="Helvetica Neue" w:hAnsi="Helvetica Neue" w:cs="Helvetica Neue"/>
          <w:i/>
          <w:sz w:val="24"/>
          <w:szCs w:val="24"/>
          <w:shd w:val="clear" w:color="auto" w:fill="D9EAD3"/>
        </w:rPr>
        <w:t>Specific to each module</w:t>
      </w: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0"/>
          <w:szCs w:val="20"/>
          <w:shd w:val="clear" w:color="auto" w:fill="D9EAD3"/>
        </w:rPr>
      </w:pPr>
    </w:p>
    <w:p w:rsidR="000169C4" w:rsidRDefault="009E41F4">
      <w:pPr>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Twins and Multiples</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169C4" w:rsidRDefault="009E41F4">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0169C4" w:rsidRDefault="000169C4">
      <w:pPr>
        <w:spacing w:line="240" w:lineRule="auto"/>
        <w:contextualSpacing w:val="0"/>
        <w:jc w:val="center"/>
        <w:rPr>
          <w:rFonts w:ascii="Helvetica Neue" w:eastAsia="Helvetica Neue" w:hAnsi="Helvetica Neue" w:cs="Helvetica Neue"/>
          <w:i/>
          <w:sz w:val="24"/>
          <w:szCs w:val="24"/>
        </w:rPr>
      </w:pPr>
    </w:p>
    <w:p w:rsidR="000169C4" w:rsidRDefault="000169C4">
      <w:pPr>
        <w:spacing w:line="240" w:lineRule="auto"/>
        <w:contextualSpacing w:val="0"/>
        <w:jc w:val="center"/>
        <w:rPr>
          <w:rFonts w:ascii="Helvetica Neue" w:eastAsia="Helvetica Neue" w:hAnsi="Helvetica Neue" w:cs="Helvetica Neue"/>
          <w:i/>
          <w:sz w:val="24"/>
          <w:szCs w:val="24"/>
        </w:rPr>
      </w:pPr>
    </w:p>
    <w:p w:rsidR="000169C4" w:rsidRDefault="009E41F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How often do the following occur </w:t>
      </w:r>
      <w:r>
        <w:rPr>
          <w:rFonts w:ascii="Helvetica Neue" w:eastAsia="Helvetica Neue" w:hAnsi="Helvetica Neue" w:cs="Helvetica Neue"/>
          <w:i/>
          <w:sz w:val="24"/>
          <w:szCs w:val="24"/>
        </w:rPr>
        <w:t>spontaneously</w:t>
      </w:r>
      <w:r>
        <w:rPr>
          <w:rFonts w:ascii="Helvetica Neue" w:eastAsia="Helvetica Neue" w:hAnsi="Helvetica Neue" w:cs="Helvetica Neue"/>
          <w:sz w:val="24"/>
          <w:szCs w:val="24"/>
        </w:rPr>
        <w:t>?</w:t>
      </w:r>
    </w:p>
    <w:p w:rsidR="000169C4" w:rsidRDefault="009E41F4">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twins</w:t>
      </w:r>
    </w:p>
    <w:p w:rsidR="000169C4" w:rsidRDefault="009E41F4">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triplets</w:t>
      </w:r>
    </w:p>
    <w:p w:rsidR="000169C4" w:rsidRDefault="009E41F4">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quadruplets or more?</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Does the rate of twin conception vary with different genetic backgrounds, ethnicities, socioeconomic factors, or other reasons?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3. Is the rate of occurrence of multiple pregnancy generally increasing or decreasing in North America? Why? (If you do not live in North America, answer for the region of the world you live in).</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List the possible configurations of babies, placentas, amnions, and chorions with: </w:t>
      </w:r>
    </w:p>
    <w:p w:rsidR="000169C4" w:rsidRDefault="009E41F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twins</w:t>
      </w:r>
    </w:p>
    <w:p w:rsidR="000169C4" w:rsidRDefault="009E41F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Triplets</w:t>
      </w:r>
    </w:p>
    <w:p w:rsidR="000169C4" w:rsidRDefault="009E41F4">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may this cause concern?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the difference between identical and fraternal twins.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Does ultrasound reliably identify twin and multiple pregnancies?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7. During pregnancy, what may tip you off during palpation that a client has a multiple pregnancy?</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What factors in a client’s health history or life may increase their chances of conceiving twins or multiples?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 When carrying a multiple pregnancy, what obstetrical risks </w:t>
      </w:r>
      <w:r>
        <w:rPr>
          <w:rFonts w:ascii="Helvetica Neue" w:eastAsia="Helvetica Neue" w:hAnsi="Helvetica Neue" w:cs="Helvetica Neue"/>
          <w:i/>
          <w:sz w:val="24"/>
          <w:szCs w:val="24"/>
        </w:rPr>
        <w:t>increase</w:t>
      </w:r>
      <w:r>
        <w:rPr>
          <w:rFonts w:ascii="Helvetica Neue" w:eastAsia="Helvetica Neue" w:hAnsi="Helvetica Neue" w:cs="Helvetica Neue"/>
          <w:sz w:val="24"/>
          <w:szCs w:val="24"/>
        </w:rPr>
        <w:t xml:space="preserve">?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How commonly do twin or multiple pregnancies continue with both (all) fetuses living? What is a “fetus papyraceus?”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What is twin-to-twin transfusion syndrome?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What specific nutritional needs do clients carrying twins or multiple pregnancies need to take into account?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Do twins and multiple pregnancies usually carry to term? What supports can you offer to encourage carrying to term?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Even in jurisdictions where attending home twin/multiple births is out of legal scope for licensed homebirth midwives, some midwives may find </w:t>
      </w:r>
      <w:proofErr w:type="spellStart"/>
      <w:r>
        <w:rPr>
          <w:rFonts w:ascii="Helvetica Neue" w:eastAsia="Helvetica Neue" w:hAnsi="Helvetica Neue" w:cs="Helvetica Neue"/>
          <w:b/>
          <w:i/>
          <w:sz w:val="24"/>
          <w:szCs w:val="24"/>
        </w:rPr>
        <w:t>themself</w:t>
      </w:r>
      <w:proofErr w:type="spellEnd"/>
      <w:r>
        <w:rPr>
          <w:rFonts w:ascii="Helvetica Neue" w:eastAsia="Helvetica Neue" w:hAnsi="Helvetica Neue" w:cs="Helvetica Neue"/>
          <w:b/>
          <w:i/>
          <w:sz w:val="24"/>
          <w:szCs w:val="24"/>
        </w:rPr>
        <w:t xml:space="preserve"> attending a surprise or emergency twin/multiple birth, or may find themselves working in a different jurisdiction with a different explicit scope of practice in the future. Therefore, we find it critical for all students to demonstrate knowledge on the facilitation of breech birth as primary care providers as a part of their education.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i/>
          <w:sz w:val="24"/>
          <w:szCs w:val="24"/>
        </w:rPr>
      </w:pP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14. What are the possibilities for twins to present, in relationship to each other and to the pelvis?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15. What are locking twins? How often does it happen and what are the categories of locking twins?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What are the risks associated with vaginal twin birth?</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17. What are signs that all is going well during a twin birth?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During a twin or multiple birth, how common is it for at least one baby to be breech?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19. What signs may lead you to discover surprise twins at a birth?</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In the case of surprise twins, what steps should you take for delivery of each infant and what special considerations must you take into account?</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Describe special considerations for all twin and multiple births.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What is tandem feeding?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Describe at least three possible positions for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twins or multiples.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What advice do you have for parents of multiples when one baby latches and breastfeeds/</w:t>
      </w:r>
      <w:proofErr w:type="spellStart"/>
      <w:r>
        <w:rPr>
          <w:rFonts w:ascii="Helvetica Neue" w:eastAsia="Helvetica Neue" w:hAnsi="Helvetica Neue" w:cs="Helvetica Neue"/>
          <w:sz w:val="24"/>
          <w:szCs w:val="24"/>
        </w:rPr>
        <w:t>chestfeeds</w:t>
      </w:r>
      <w:proofErr w:type="spellEnd"/>
      <w:r>
        <w:rPr>
          <w:rFonts w:ascii="Helvetica Neue" w:eastAsia="Helvetica Neue" w:hAnsi="Helvetica Neue" w:cs="Helvetica Neue"/>
          <w:sz w:val="24"/>
          <w:szCs w:val="24"/>
        </w:rPr>
        <w:t xml:space="preserve"> very well, and the other(s) are struggling?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Your client, Saskia, age 32, G1P1, had twins six days ago. She is really struggling with breastfeeding her babies and finds she has little time for anything else at all with two mouths to feed. She is wondering how/when/if she can put her babies on a feeding schedule. What advice do you have for Saskia?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Your client, Agatha, age 41, G2P1, had twins two weeks ago. One or both twins is/are “fussy” at seemingly all hours of the day. She feels really frazzled and overwhelmed. What advice do you have for Agatha?</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26. When noting gravity and parity via a GTPAL system, how are twins and multiples factored in? </w:t>
      </w:r>
    </w:p>
    <w:p w:rsidR="000169C4" w:rsidRDefault="000169C4">
      <w:pPr>
        <w:spacing w:line="240" w:lineRule="auto"/>
        <w:contextualSpacing w:val="0"/>
        <w:rPr>
          <w:rFonts w:ascii="Helvetica Neue" w:eastAsia="Helvetica Neue" w:hAnsi="Helvetica Neue" w:cs="Helvetica Neue"/>
          <w:sz w:val="20"/>
          <w:szCs w:val="20"/>
          <w:shd w:val="clear" w:color="auto" w:fill="D9EAD3"/>
        </w:rPr>
      </w:pPr>
    </w:p>
    <w:p w:rsidR="000169C4" w:rsidRDefault="009E41F4">
      <w:pPr>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Twins and Multiples</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9E41F4">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0169C4" w:rsidRDefault="009E41F4">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27. Describe, step-by-step, your primary attendance at a birth of twins. Include instructions for your assistant, if you have one.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28. Describe how you can continue to serve your client when twin or multiple birth is planned for in the hospital. Take into account many twin hospital births involve cesarean section and/or a NICU stay for babies. </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29. What experience have you had detecting or confirming twins prenatally?</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30. Have you been present at a twin or multiple birth? What were your observations?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31. Compile a list of local doctors who are willing to attend vaginal twin births. Additionally, what are their requirements for participation (for example: baby A must be head down, parent must be a </w:t>
      </w:r>
      <w:proofErr w:type="spellStart"/>
      <w:r>
        <w:rPr>
          <w:rFonts w:ascii="Helvetica Neue" w:eastAsia="Helvetica Neue" w:hAnsi="Helvetica Neue" w:cs="Helvetica Neue"/>
          <w:sz w:val="24"/>
          <w:szCs w:val="24"/>
        </w:rPr>
        <w:t>multip</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etc</w:t>
      </w:r>
      <w:proofErr w:type="spellEnd"/>
      <w:r>
        <w:rPr>
          <w:rFonts w:ascii="Helvetica Neue" w:eastAsia="Helvetica Neue" w:hAnsi="Helvetica Neue" w:cs="Helvetica Neue"/>
          <w:sz w:val="24"/>
          <w:szCs w:val="24"/>
        </w:rPr>
        <w:t>….)</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32. Compile a list of local doctors who are willing to consult with community midwives regarding twins and multiple pregnancies.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33. What is the local community standard among midwives regarding detection of twins and multiples? (What is done by midwives in your community who suspect a client is carrying twins?)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34. What is the local community standard among midwives regarding twin and multiple births?</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35. Choose a book about twins to recommend to your clients. Write a review about your recommendation, include title, author, publisher and date of publication.</w:t>
      </w: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0"/>
          <w:szCs w:val="20"/>
          <w:shd w:val="clear" w:color="auto" w:fill="D9EAD3"/>
        </w:rPr>
      </w:pPr>
    </w:p>
    <w:p w:rsidR="000169C4" w:rsidRDefault="009E41F4">
      <w:pPr>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Twins and Multiples</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0169C4" w:rsidRDefault="009E41F4">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0169C4" w:rsidRDefault="009E41F4">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0169C4" w:rsidRDefault="000169C4">
      <w:pPr>
        <w:spacing w:line="240" w:lineRule="auto"/>
        <w:contextualSpacing w:val="0"/>
        <w:jc w:val="center"/>
        <w:rPr>
          <w:rFonts w:ascii="Helvetica Neue" w:eastAsia="Helvetica Neue" w:hAnsi="Helvetica Neue" w:cs="Helvetica Neue"/>
          <w:i/>
          <w:sz w:val="24"/>
          <w:szCs w:val="24"/>
        </w:rPr>
      </w:pPr>
    </w:p>
    <w:p w:rsidR="000169C4" w:rsidRDefault="000169C4">
      <w:pPr>
        <w:spacing w:line="240" w:lineRule="auto"/>
        <w:contextualSpacing w:val="0"/>
        <w:jc w:val="center"/>
        <w:rPr>
          <w:rFonts w:ascii="Helvetica Neue" w:eastAsia="Helvetica Neue" w:hAnsi="Helvetica Neue" w:cs="Helvetica Neue"/>
          <w:i/>
          <w:sz w:val="24"/>
          <w:szCs w:val="24"/>
        </w:rPr>
      </w:pPr>
    </w:p>
    <w:p w:rsidR="000169C4" w:rsidRDefault="009E41F4">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0169C4" w:rsidRDefault="009E41F4">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Draft practice guidelines for taking care of twin and multiple pregnancies in your own practice. Include reference to nutritional advice, any additional screening,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or clinical assessments, and any other special considerations for prenatal care and preparing for the birth/infant feeding. Submit this draft and include it later in your Practice Guidelines projects (in the Charting and Practice Guidelines Module.)</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37. Draft practice guidelines for twin and multiple births in your own practice. Include reference to your consultation and referral plan, instructions for clients, informed consent, </w:t>
      </w:r>
      <w:r>
        <w:rPr>
          <w:rFonts w:ascii="Helvetica Neue" w:eastAsia="Helvetica Neue" w:hAnsi="Helvetica Neue" w:cs="Helvetica Neue"/>
          <w:sz w:val="24"/>
          <w:szCs w:val="24"/>
        </w:rPr>
        <w:lastRenderedPageBreak/>
        <w:t>transport plan in response to cord prolapse, surprise twins and multiples in labor, postpartum care, and newborn resuscitation guidelines, especially in the case of small/early newborns. Submit this draft and include it later in your Practice Guidelines projects (in the Charting and Practice Guidelines Module.)</w:t>
      </w:r>
    </w:p>
    <w:p w:rsidR="000169C4" w:rsidRDefault="0001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69C4" w:rsidRDefault="009E41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38. Using two dolls and pelvis, practice twin birth maneuvers for midwives over and over and over to develop confidence and muscle memory. Practice these in at least two different client positions, and with multiple configurations of twins in relation to each other and to the pelvis. Reflect on how this practice prepares you for a multiple birth. </w:t>
      </w: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bookmarkStart w:id="1" w:name="_gjdgxs" w:colFirst="0" w:colLast="0"/>
      <w:bookmarkEnd w:id="1"/>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spacing w:line="240" w:lineRule="auto"/>
        <w:contextualSpacing w:val="0"/>
        <w:rPr>
          <w:rFonts w:ascii="Helvetica Neue" w:eastAsia="Helvetica Neue" w:hAnsi="Helvetica Neue" w:cs="Helvetica Neue"/>
          <w:sz w:val="24"/>
          <w:szCs w:val="24"/>
        </w:rPr>
      </w:pPr>
    </w:p>
    <w:p w:rsidR="000169C4" w:rsidRDefault="000169C4">
      <w:pPr>
        <w:contextualSpacing w:val="0"/>
      </w:pPr>
    </w:p>
    <w:p w:rsidR="000169C4" w:rsidRDefault="000169C4">
      <w:pPr>
        <w:contextualSpacing w:val="0"/>
      </w:pPr>
    </w:p>
    <w:sectPr w:rsidR="000169C4" w:rsidSect="005E7AE9">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A54" w:rsidRDefault="00655A54" w:rsidP="005E7AE9">
      <w:pPr>
        <w:spacing w:line="240" w:lineRule="auto"/>
      </w:pPr>
      <w:r>
        <w:separator/>
      </w:r>
    </w:p>
  </w:endnote>
  <w:endnote w:type="continuationSeparator" w:id="0">
    <w:p w:rsidR="00655A54" w:rsidRDefault="00655A54" w:rsidP="005E7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85" w:rsidRPr="000039C7" w:rsidRDefault="001C0185" w:rsidP="001C0185">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E7AE9" w:rsidRPr="001C0185" w:rsidRDefault="001C0185" w:rsidP="001C0185">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85" w:rsidRPr="000039C7" w:rsidRDefault="001C0185" w:rsidP="001C0185">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E7AE9" w:rsidRPr="001C0185" w:rsidRDefault="001C0185" w:rsidP="001C0185">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A54" w:rsidRDefault="00655A54" w:rsidP="005E7AE9">
      <w:pPr>
        <w:spacing w:line="240" w:lineRule="auto"/>
      </w:pPr>
      <w:r>
        <w:separator/>
      </w:r>
    </w:p>
  </w:footnote>
  <w:footnote w:type="continuationSeparator" w:id="0">
    <w:p w:rsidR="00655A54" w:rsidRDefault="00655A54" w:rsidP="005E7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E9" w:rsidRDefault="001C0185">
    <w:pPr>
      <w:pStyle w:val="Header"/>
    </w:pPr>
    <w:r>
      <w:rPr>
        <w:noProof/>
      </w:rPr>
      <mc:AlternateContent>
        <mc:Choice Requires="wps">
          <w:drawing>
            <wp:anchor distT="152400" distB="152400" distL="152400" distR="152400" simplePos="0" relativeHeight="251661312" behindDoc="0" locked="0" layoutInCell="1" allowOverlap="1" wp14:anchorId="6A2D07EE" wp14:editId="5C9624BA">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1C0185" w:rsidRPr="00441244" w:rsidRDefault="001C0185" w:rsidP="001C0185">
                          <w:pPr>
                            <w:pStyle w:val="FreeForm"/>
                            <w:rPr>
                              <w:rFonts w:asciiTheme="majorHAnsi" w:hAnsiTheme="majorHAnsi"/>
                              <w:color w:val="91003D"/>
                              <w:sz w:val="16"/>
                              <w:szCs w:val="16"/>
                            </w:rPr>
                          </w:pPr>
                        </w:p>
                        <w:p w:rsidR="001C0185" w:rsidRPr="00441244" w:rsidRDefault="001C0185" w:rsidP="001C0185">
                          <w:pPr>
                            <w:pStyle w:val="FreeForm"/>
                          </w:pPr>
                          <w:r w:rsidRPr="00441244">
                            <w:rPr>
                              <w:color w:val="91003D"/>
                            </w:rPr>
                            <w:t xml:space="preserve">Study Group Module: </w:t>
                          </w:r>
                          <w:r>
                            <w:rPr>
                              <w:rFonts w:eastAsia="Helvetica Neue" w:cs="Helvetica Neue"/>
                              <w:color w:val="941100"/>
                            </w:rPr>
                            <w:t>Twins &amp; Multiples</w:t>
                          </w:r>
                        </w:p>
                        <w:p w:rsidR="001C0185" w:rsidRDefault="001C0185" w:rsidP="001C0185">
                          <w:pPr>
                            <w:jc w:val="center"/>
                          </w:pPr>
                        </w:p>
                      </w:txbxContent>
                    </wps:txbx>
                    <wps:bodyPr/>
                  </wps:wsp>
                </a:graphicData>
              </a:graphic>
            </wp:anchor>
          </w:drawing>
        </mc:Choice>
        <mc:Fallback>
          <w:pict>
            <v:rect w14:anchorId="6A2D07EE"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1C0185" w:rsidRPr="00441244" w:rsidRDefault="001C0185" w:rsidP="001C0185">
                    <w:pPr>
                      <w:pStyle w:val="FreeForm"/>
                      <w:rPr>
                        <w:rFonts w:asciiTheme="majorHAnsi" w:hAnsiTheme="majorHAnsi"/>
                        <w:color w:val="91003D"/>
                        <w:sz w:val="16"/>
                        <w:szCs w:val="16"/>
                      </w:rPr>
                    </w:pPr>
                  </w:p>
                  <w:p w:rsidR="001C0185" w:rsidRPr="00441244" w:rsidRDefault="001C0185" w:rsidP="001C0185">
                    <w:pPr>
                      <w:pStyle w:val="FreeForm"/>
                    </w:pPr>
                    <w:r w:rsidRPr="00441244">
                      <w:rPr>
                        <w:color w:val="91003D"/>
                      </w:rPr>
                      <w:t xml:space="preserve">Study Group Module: </w:t>
                    </w:r>
                    <w:r>
                      <w:rPr>
                        <w:rFonts w:eastAsia="Helvetica Neue" w:cs="Helvetica Neue"/>
                        <w:color w:val="941100"/>
                      </w:rPr>
                      <w:t>Twins &amp; Multiples</w:t>
                    </w:r>
                  </w:p>
                  <w:p w:rsidR="001C0185" w:rsidRDefault="001C0185" w:rsidP="001C0185">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E9" w:rsidRDefault="005E7AE9">
    <w:pPr>
      <w:pStyle w:val="Header"/>
    </w:pPr>
    <w:r>
      <w:rPr>
        <w:noProof/>
      </w:rPr>
      <mc:AlternateContent>
        <mc:Choice Requires="wps">
          <w:drawing>
            <wp:anchor distT="152400" distB="152400" distL="152400" distR="152400" simplePos="0" relativeHeight="251659264" behindDoc="0" locked="0" layoutInCell="1" allowOverlap="1" wp14:anchorId="525637F7" wp14:editId="50ADDC3E">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5E7AE9" w:rsidRDefault="005E7AE9" w:rsidP="005E7AE9">
                          <w:pPr>
                            <w:pStyle w:val="FreeForm"/>
                            <w:jc w:val="center"/>
                            <w:rPr>
                              <w:color w:val="91003D"/>
                              <w:sz w:val="56"/>
                              <w:szCs w:val="56"/>
                            </w:rPr>
                          </w:pPr>
                        </w:p>
                        <w:p w:rsidR="005E7AE9" w:rsidRPr="004F3780" w:rsidRDefault="005E7AE9" w:rsidP="005E7AE9">
                          <w:pPr>
                            <w:pStyle w:val="FreeForm"/>
                            <w:jc w:val="center"/>
                            <w:rPr>
                              <w:b/>
                              <w:bCs/>
                              <w:color w:val="91003D"/>
                              <w:sz w:val="56"/>
                              <w:szCs w:val="56"/>
                            </w:rPr>
                          </w:pPr>
                          <w:r>
                            <w:rPr>
                              <w:color w:val="91003D"/>
                              <w:sz w:val="56"/>
                              <w:szCs w:val="56"/>
                            </w:rPr>
                            <w:t xml:space="preserve">Twins &amp; Multiples </w:t>
                          </w:r>
                        </w:p>
                        <w:p w:rsidR="005E7AE9" w:rsidRDefault="005E7AE9" w:rsidP="005E7AE9">
                          <w:pPr>
                            <w:pStyle w:val="FreeForm"/>
                            <w:ind w:firstLine="720"/>
                            <w:rPr>
                              <w:rFonts w:asciiTheme="majorHAnsi" w:hAnsiTheme="majorHAnsi"/>
                              <w:color w:val="91003D"/>
                              <w:sz w:val="36"/>
                              <w:szCs w:val="36"/>
                            </w:rPr>
                          </w:pPr>
                        </w:p>
                        <w:p w:rsidR="005E7AE9" w:rsidRPr="00441244" w:rsidRDefault="005E7AE9" w:rsidP="005E7AE9">
                          <w:pPr>
                            <w:pStyle w:val="FreeForm"/>
                            <w:ind w:firstLine="720"/>
                            <w:rPr>
                              <w:b/>
                              <w:bCs/>
                              <w:color w:val="91003D"/>
                              <w:sz w:val="32"/>
                              <w:szCs w:val="32"/>
                            </w:rPr>
                          </w:pPr>
                          <w:r w:rsidRPr="00441244">
                            <w:rPr>
                              <w:rFonts w:asciiTheme="majorHAnsi" w:hAnsiTheme="majorHAnsi"/>
                              <w:color w:val="91003D"/>
                              <w:sz w:val="32"/>
                              <w:szCs w:val="32"/>
                            </w:rPr>
                            <w:t>Study Group Module</w:t>
                          </w:r>
                        </w:p>
                        <w:p w:rsidR="005E7AE9" w:rsidRDefault="005E7AE9" w:rsidP="005E7AE9">
                          <w:pPr>
                            <w:jc w:val="center"/>
                          </w:pPr>
                        </w:p>
                      </w:txbxContent>
                    </wps:txbx>
                    <wps:bodyPr/>
                  </wps:wsp>
                </a:graphicData>
              </a:graphic>
            </wp:anchor>
          </w:drawing>
        </mc:Choice>
        <mc:Fallback>
          <w:pict>
            <v:rect w14:anchorId="525637F7"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5E7AE9" w:rsidRDefault="005E7AE9" w:rsidP="005E7AE9">
                    <w:pPr>
                      <w:pStyle w:val="FreeForm"/>
                      <w:jc w:val="center"/>
                      <w:rPr>
                        <w:color w:val="91003D"/>
                        <w:sz w:val="56"/>
                        <w:szCs w:val="56"/>
                      </w:rPr>
                    </w:pPr>
                  </w:p>
                  <w:p w:rsidR="005E7AE9" w:rsidRPr="004F3780" w:rsidRDefault="005E7AE9" w:rsidP="005E7AE9">
                    <w:pPr>
                      <w:pStyle w:val="FreeForm"/>
                      <w:jc w:val="center"/>
                      <w:rPr>
                        <w:b/>
                        <w:bCs/>
                        <w:color w:val="91003D"/>
                        <w:sz w:val="56"/>
                        <w:szCs w:val="56"/>
                      </w:rPr>
                    </w:pPr>
                    <w:r>
                      <w:rPr>
                        <w:color w:val="91003D"/>
                        <w:sz w:val="56"/>
                        <w:szCs w:val="56"/>
                      </w:rPr>
                      <w:t xml:space="preserve">Twins &amp; Multiples </w:t>
                    </w:r>
                  </w:p>
                  <w:p w:rsidR="005E7AE9" w:rsidRDefault="005E7AE9" w:rsidP="005E7AE9">
                    <w:pPr>
                      <w:pStyle w:val="FreeForm"/>
                      <w:ind w:firstLine="720"/>
                      <w:rPr>
                        <w:rFonts w:asciiTheme="majorHAnsi" w:hAnsiTheme="majorHAnsi"/>
                        <w:color w:val="91003D"/>
                        <w:sz w:val="36"/>
                        <w:szCs w:val="36"/>
                      </w:rPr>
                    </w:pPr>
                  </w:p>
                  <w:p w:rsidR="005E7AE9" w:rsidRPr="00441244" w:rsidRDefault="005E7AE9" w:rsidP="005E7AE9">
                    <w:pPr>
                      <w:pStyle w:val="FreeForm"/>
                      <w:ind w:firstLine="720"/>
                      <w:rPr>
                        <w:b/>
                        <w:bCs/>
                        <w:color w:val="91003D"/>
                        <w:sz w:val="32"/>
                        <w:szCs w:val="32"/>
                      </w:rPr>
                    </w:pPr>
                    <w:r w:rsidRPr="00441244">
                      <w:rPr>
                        <w:rFonts w:asciiTheme="majorHAnsi" w:hAnsiTheme="majorHAnsi"/>
                        <w:color w:val="91003D"/>
                        <w:sz w:val="32"/>
                        <w:szCs w:val="32"/>
                      </w:rPr>
                      <w:t>Study Group Module</w:t>
                    </w:r>
                  </w:p>
                  <w:p w:rsidR="005E7AE9" w:rsidRDefault="005E7AE9" w:rsidP="005E7AE9">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05"/>
    <w:multiLevelType w:val="multilevel"/>
    <w:tmpl w:val="870AF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12390A"/>
    <w:multiLevelType w:val="multilevel"/>
    <w:tmpl w:val="EB4EB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B7858"/>
    <w:multiLevelType w:val="multilevel"/>
    <w:tmpl w:val="2234A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82D4E"/>
    <w:multiLevelType w:val="multilevel"/>
    <w:tmpl w:val="96C23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897793"/>
    <w:multiLevelType w:val="multilevel"/>
    <w:tmpl w:val="0E74D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2133908"/>
    <w:multiLevelType w:val="multilevel"/>
    <w:tmpl w:val="6908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71755F"/>
    <w:multiLevelType w:val="multilevel"/>
    <w:tmpl w:val="02AC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69C4"/>
    <w:rsid w:val="000169C4"/>
    <w:rsid w:val="001C0185"/>
    <w:rsid w:val="00505FBC"/>
    <w:rsid w:val="005E7AE9"/>
    <w:rsid w:val="00655A54"/>
    <w:rsid w:val="00870A7C"/>
    <w:rsid w:val="009E4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381409"/>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7AE9"/>
    <w:pPr>
      <w:tabs>
        <w:tab w:val="center" w:pos="4680"/>
        <w:tab w:val="right" w:pos="9360"/>
      </w:tabs>
      <w:spacing w:line="240" w:lineRule="auto"/>
    </w:pPr>
  </w:style>
  <w:style w:type="character" w:customStyle="1" w:styleId="HeaderChar">
    <w:name w:val="Header Char"/>
    <w:basedOn w:val="DefaultParagraphFont"/>
    <w:link w:val="Header"/>
    <w:uiPriority w:val="99"/>
    <w:rsid w:val="005E7AE9"/>
  </w:style>
  <w:style w:type="paragraph" w:styleId="Footer">
    <w:name w:val="footer"/>
    <w:basedOn w:val="Normal"/>
    <w:link w:val="FooterChar"/>
    <w:uiPriority w:val="99"/>
    <w:unhideWhenUsed/>
    <w:rsid w:val="005E7AE9"/>
    <w:pPr>
      <w:tabs>
        <w:tab w:val="center" w:pos="4680"/>
        <w:tab w:val="right" w:pos="9360"/>
      </w:tabs>
      <w:spacing w:line="240" w:lineRule="auto"/>
    </w:pPr>
  </w:style>
  <w:style w:type="character" w:customStyle="1" w:styleId="FooterChar">
    <w:name w:val="Footer Char"/>
    <w:basedOn w:val="DefaultParagraphFont"/>
    <w:link w:val="Footer"/>
    <w:uiPriority w:val="99"/>
    <w:rsid w:val="005E7AE9"/>
  </w:style>
  <w:style w:type="paragraph" w:customStyle="1" w:styleId="FreeForm">
    <w:name w:val="Free Form"/>
    <w:rsid w:val="005E7AE9"/>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BalloonText">
    <w:name w:val="Balloon Text"/>
    <w:basedOn w:val="Normal"/>
    <w:link w:val="BalloonTextChar"/>
    <w:uiPriority w:val="99"/>
    <w:semiHidden/>
    <w:unhideWhenUsed/>
    <w:rsid w:val="00505F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3</cp:revision>
  <cp:lastPrinted>2018-10-26T20:41:00Z</cp:lastPrinted>
  <dcterms:created xsi:type="dcterms:W3CDTF">2018-10-26T20:41:00Z</dcterms:created>
  <dcterms:modified xsi:type="dcterms:W3CDTF">2018-10-26T20:41:00Z</dcterms:modified>
</cp:coreProperties>
</file>